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方正小标宋简体" w:eastAsia="方正小标宋简体" w:cs="宋体"/>
          <w:b/>
          <w:bCs/>
          <w:color w:val="000000"/>
          <w:kern w:val="0"/>
          <w:sz w:val="52"/>
          <w:szCs w:val="52"/>
        </w:rPr>
      </w:pPr>
      <w:bookmarkStart w:id="0" w:name="_Hlk106371700"/>
      <w:r>
        <w:rPr>
          <w:rFonts w:hint="eastAsia" w:ascii="方正小标宋简体" w:eastAsia="方正小标宋简体" w:cs="宋体"/>
          <w:b/>
          <w:bCs/>
          <w:color w:val="000000"/>
          <w:kern w:val="0"/>
          <w:sz w:val="52"/>
          <w:szCs w:val="52"/>
        </w:rPr>
        <w:t>茅台战略研究院</w:t>
      </w:r>
    </w:p>
    <w:p>
      <w:pPr>
        <w:widowControl/>
        <w:jc w:val="center"/>
        <w:rPr>
          <w:rFonts w:ascii="方正小标宋简体" w:eastAsia="方正小标宋简体" w:cs="宋体"/>
          <w:b/>
          <w:bCs/>
          <w:color w:val="000000"/>
          <w:kern w:val="0"/>
          <w:sz w:val="52"/>
          <w:szCs w:val="52"/>
        </w:rPr>
      </w:pPr>
      <w:r>
        <w:rPr>
          <w:rFonts w:hint="eastAsia" w:ascii="方正小标宋简体" w:eastAsia="方正小标宋简体" w:cs="宋体"/>
          <w:b/>
          <w:bCs/>
          <w:color w:val="000000"/>
          <w:kern w:val="0"/>
          <w:sz w:val="52"/>
          <w:szCs w:val="52"/>
        </w:rPr>
        <w:t>2024年度课题指南</w:t>
      </w:r>
    </w:p>
    <w:bookmarkEnd w:id="0"/>
    <w:p>
      <w:pPr>
        <w:widowControl/>
        <w:jc w:val="center"/>
        <w:rPr>
          <w:rFonts w:ascii="华文中宋" w:eastAsia="华文中宋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楷体_GB2312" w:eastAsia="楷体_GB2312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楷体_GB2312" w:eastAsia="楷体_GB2312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楷体_GB2312" w:eastAsia="楷体_GB2312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楷体_GB2312" w:eastAsia="楷体_GB2312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楷体_GB2312" w:eastAsia="楷体_GB2312" w:cs="宋体"/>
          <w:b/>
          <w:bCs/>
          <w:color w:val="000000"/>
          <w:kern w:val="0"/>
          <w:sz w:val="36"/>
          <w:szCs w:val="36"/>
        </w:rPr>
        <w:t>茅台战略研究院</w:t>
      </w:r>
    </w:p>
    <w:p>
      <w:pPr>
        <w:widowControl/>
        <w:jc w:val="center"/>
        <w:rPr>
          <w:rFonts w:ascii="楷体_GB2312" w:eastAsia="楷体_GB2312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楷体_GB2312" w:eastAsia="楷体_GB2312" w:cs="宋体"/>
          <w:b/>
          <w:bCs/>
          <w:color w:val="000000"/>
          <w:kern w:val="0"/>
          <w:sz w:val="36"/>
          <w:szCs w:val="36"/>
        </w:rPr>
        <w:t>20</w:t>
      </w:r>
      <w:r>
        <w:rPr>
          <w:rFonts w:ascii="楷体_GB2312" w:eastAsia="楷体_GB2312" w:cs="宋体"/>
          <w:b/>
          <w:bCs/>
          <w:color w:val="000000"/>
          <w:kern w:val="0"/>
          <w:sz w:val="36"/>
          <w:szCs w:val="36"/>
        </w:rPr>
        <w:t>2</w:t>
      </w:r>
      <w:r>
        <w:rPr>
          <w:rFonts w:hint="eastAsia" w:ascii="楷体_GB2312" w:eastAsia="楷体_GB2312" w:cs="宋体"/>
          <w:b/>
          <w:bCs/>
          <w:color w:val="000000"/>
          <w:kern w:val="0"/>
          <w:sz w:val="36"/>
          <w:szCs w:val="36"/>
        </w:rPr>
        <w:t>4年4月</w:t>
      </w:r>
    </w:p>
    <w:p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after="156" w:afterLines="50"/>
        <w:jc w:val="center"/>
        <w:rPr>
          <w:rFonts w:ascii="黑体" w:eastAsia="黑体" w:cs="宋体"/>
          <w:bCs/>
          <w:color w:val="000000"/>
          <w:kern w:val="0"/>
          <w:sz w:val="44"/>
          <w:szCs w:val="44"/>
        </w:rPr>
      </w:pPr>
      <w:r>
        <w:rPr>
          <w:rFonts w:hint="eastAsia" w:ascii="黑体" w:eastAsia="黑体" w:cs="宋体"/>
          <w:bCs/>
          <w:color w:val="000000"/>
          <w:kern w:val="0"/>
          <w:sz w:val="44"/>
          <w:szCs w:val="44"/>
        </w:rPr>
        <w:t>说  明</w:t>
      </w:r>
    </w:p>
    <w:p>
      <w:pPr>
        <w:spacing w:line="62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eastAsia="仿宋_GB2312" w:cs="Courier New"/>
          <w:bCs/>
          <w:sz w:val="32"/>
          <w:szCs w:val="21"/>
        </w:rPr>
        <w:t>一、2024年度茅台战略研究院课题申报和评审工作，坚持</w:t>
      </w:r>
      <w:r>
        <w:rPr>
          <w:rFonts w:hint="eastAsia" w:ascii="仿宋_GB2312" w:hAnsi="华文中宋" w:eastAsia="仿宋_GB2312"/>
          <w:sz w:val="32"/>
          <w:szCs w:val="32"/>
        </w:rPr>
        <w:t>以习近平新时代中国特色社会主义思想为指导，以习近平文化思想为引领，全面贯彻落实党的二十大、二十届二中全会精神以及贵州省第十三次党代会精神，坚持正确的政治方向、价值取向和学术导向，</w:t>
      </w:r>
      <w:r>
        <w:rPr>
          <w:rFonts w:ascii="仿宋_GB2312" w:hAnsi="华文中宋" w:eastAsia="仿宋_GB2312"/>
          <w:sz w:val="32"/>
          <w:szCs w:val="32"/>
        </w:rPr>
        <w:t>坚持基础研究和应用研究并重，</w:t>
      </w:r>
      <w:r>
        <w:rPr>
          <w:rFonts w:hint="eastAsia" w:ascii="仿宋_GB2312" w:hAnsi="华文中宋" w:eastAsia="仿宋_GB2312"/>
          <w:sz w:val="32"/>
          <w:szCs w:val="32"/>
        </w:rPr>
        <w:t>坚持以重大理论和茅台发展现实问题为主攻方向，解放思想、实事求是、与时俱进、求真务实，为茅台集团和行业高质量发展、现代化建设服务。</w:t>
      </w:r>
    </w:p>
    <w:p>
      <w:pPr>
        <w:spacing w:line="620" w:lineRule="exact"/>
        <w:ind w:firstLine="640" w:firstLineChars="200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二、《茅台战略研究院2024年度课题指南》</w:t>
      </w:r>
      <w:bookmarkStart w:id="1" w:name="OLE_LINK4"/>
      <w:bookmarkStart w:id="2" w:name="OLE_LINK6"/>
      <w:bookmarkStart w:id="3" w:name="OLE_LINK5"/>
      <w:r>
        <w:rPr>
          <w:rFonts w:hint="eastAsia" w:ascii="仿宋_GB2312" w:eastAsia="仿宋_GB2312"/>
          <w:bCs/>
          <w:sz w:val="32"/>
        </w:rPr>
        <w:t>（以下简称《课题指南》）围绕深入学习贯彻习近平</w:t>
      </w:r>
      <w:r>
        <w:rPr>
          <w:rFonts w:hint="eastAsia" w:ascii="仿宋_GB2312" w:hAnsi="华文中宋" w:eastAsia="仿宋_GB2312"/>
          <w:sz w:val="32"/>
          <w:szCs w:val="32"/>
        </w:rPr>
        <w:t>新时代中国特色社会主义思想，围绕贯彻落实党的二十大、二十届二中全会精神，</w:t>
      </w:r>
      <w:r>
        <w:rPr>
          <w:rFonts w:hint="eastAsia" w:ascii="仿宋_GB2312" w:eastAsia="仿宋_GB2312"/>
          <w:bCs/>
          <w:sz w:val="32"/>
        </w:rPr>
        <w:t>聚焦茅台集团“五线发展道路”、茅台“美”时代等战略部署，</w:t>
      </w:r>
      <w:bookmarkEnd w:id="1"/>
      <w:bookmarkEnd w:id="2"/>
      <w:bookmarkEnd w:id="3"/>
      <w:r>
        <w:rPr>
          <w:rFonts w:hint="eastAsia" w:ascii="仿宋_GB2312" w:eastAsia="仿宋_GB2312"/>
          <w:bCs/>
          <w:sz w:val="32"/>
        </w:rPr>
        <w:t>聚焦茅台集团发展的重大问题、现实问题和前沿问题，在相关领域拟定了一批重要选题，申请人可结合自己的学术专长和研究基础选择申报。</w:t>
      </w:r>
    </w:p>
    <w:p>
      <w:pPr>
        <w:pStyle w:val="5"/>
        <w:spacing w:line="620" w:lineRule="exact"/>
        <w:ind w:firstLine="640" w:firstLineChars="200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三、申报茅台战略研究院课题，要体现鲜明的时代特征、问题导向和创新意识，着力推出代表正确方向、体现高水平的研究成果。研究</w:t>
      </w:r>
      <w:r>
        <w:rPr>
          <w:rFonts w:hint="eastAsia" w:ascii="仿宋_GB2312" w:eastAsia="仿宋_GB2312"/>
          <w:sz w:val="32"/>
          <w:szCs w:val="32"/>
        </w:rPr>
        <w:t>要紧密结合茅台集团的发展动态，</w:t>
      </w:r>
      <w:r>
        <w:rPr>
          <w:rFonts w:hint="eastAsia" w:ascii="仿宋_GB2312" w:eastAsia="仿宋_GB2312"/>
          <w:bCs/>
          <w:sz w:val="32"/>
        </w:rPr>
        <w:t>立足茅台集团发展需要，聚焦茅台</w:t>
      </w:r>
      <w:r>
        <w:rPr>
          <w:rFonts w:hint="eastAsia" w:ascii="仿宋_GB2312" w:eastAsia="仿宋_GB2312"/>
          <w:sz w:val="32"/>
          <w:szCs w:val="32"/>
        </w:rPr>
        <w:t>发展中的全局性、战略性和前瞻性的重大问题，力求具有现实性、针对性和较强的决策参考价值和实践应用价值。</w:t>
      </w:r>
    </w:p>
    <w:p>
      <w:pPr>
        <w:tabs>
          <w:tab w:val="decimal" w:pos="0"/>
        </w:tabs>
        <w:adjustRightInd w:val="0"/>
        <w:snapToGrid w:val="0"/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bCs/>
          <w:sz w:val="32"/>
        </w:rPr>
        <w:t>四、申请人须具备下列条件：遵守中华人民共和国宪法和法律；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相关研究领域和专业方向具备一定的学术地位和优势；具有完成课题的人才条件和相关技术设备；具有与课题相关的研究经历和研究积累；具有完成课题所需的组织管理和协调能力；具有完成课题的良好信誉度。</w:t>
      </w:r>
    </w:p>
    <w:p>
      <w:pPr>
        <w:pStyle w:val="5"/>
        <w:spacing w:line="620" w:lineRule="exact"/>
        <w:ind w:firstLine="640" w:firstLineChars="200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五、课题申报须按照《茅台战略研究院课题申报书》（以下简称《申报书》）规范填写。《课题指南》中各课题均为方向性课题，申报可选择不同的研究角度、方法和侧重点，也可对课题的文字表述做出适当修改。课题名称的表述要科学严谨、简明规范，避免引起歧义或争议。</w:t>
      </w:r>
    </w:p>
    <w:p>
      <w:pPr>
        <w:pStyle w:val="5"/>
        <w:spacing w:line="620" w:lineRule="exact"/>
        <w:ind w:firstLine="640" w:firstLineChars="200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六、茅台战略研究院课题的经费额度上限为</w:t>
      </w:r>
      <w:r>
        <w:rPr>
          <w:rFonts w:ascii="仿宋_GB2312" w:eastAsia="仿宋_GB2312"/>
          <w:bCs/>
          <w:sz w:val="32"/>
        </w:rPr>
        <w:t>80</w:t>
      </w:r>
      <w:r>
        <w:rPr>
          <w:rFonts w:hint="eastAsia" w:ascii="仿宋_GB2312" w:eastAsia="仿宋_GB2312"/>
          <w:bCs/>
          <w:sz w:val="32"/>
        </w:rPr>
        <w:t>万元。申请人根据实际需要编制科学合理的经费预算。课题实际经费以申请获批后签订的合同为准。</w:t>
      </w:r>
    </w:p>
    <w:p>
      <w:pPr>
        <w:pStyle w:val="5"/>
        <w:spacing w:line="620" w:lineRule="exact"/>
        <w:ind w:firstLine="640" w:firstLineChars="200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七、茅台战略研究院课题的完成时限为</w:t>
      </w:r>
      <w:r>
        <w:rPr>
          <w:rFonts w:hint="eastAsia" w:ascii="仿宋_GB2312" w:eastAsia="仿宋_GB2312"/>
          <w:sz w:val="32"/>
          <w:szCs w:val="32"/>
        </w:rPr>
        <w:t>1年</w:t>
      </w:r>
      <w:r>
        <w:rPr>
          <w:rFonts w:hint="eastAsia" w:ascii="仿宋_GB2312" w:eastAsia="仿宋_GB2312"/>
          <w:bCs/>
          <w:sz w:val="32"/>
        </w:rPr>
        <w:t>。</w:t>
      </w:r>
    </w:p>
    <w:p>
      <w:pPr>
        <w:pStyle w:val="4"/>
        <w:spacing w:line="620" w:lineRule="exact"/>
        <w:ind w:firstLine="640" w:firstLineChars="200"/>
        <w:rPr>
          <w:rFonts w:ascii="仿宋_GB2312" w:eastAsia="仿宋_GB2312"/>
          <w:bCs/>
          <w:i/>
          <w:sz w:val="32"/>
        </w:rPr>
      </w:pPr>
      <w:r>
        <w:rPr>
          <w:rFonts w:hint="eastAsia" w:ascii="仿宋_GB2312" w:eastAsia="仿宋_GB2312"/>
          <w:bCs/>
          <w:sz w:val="32"/>
        </w:rPr>
        <w:t>八</w:t>
      </w:r>
      <w:r>
        <w:rPr>
          <w:rFonts w:ascii="仿宋_GB2312" w:eastAsia="仿宋_GB2312"/>
          <w:bCs/>
          <w:sz w:val="32"/>
        </w:rPr>
        <w:t>、为确保申请人有足够的时间和精力从事课题研究，</w:t>
      </w:r>
      <w:r>
        <w:rPr>
          <w:rFonts w:hint="eastAsia" w:ascii="仿宋_GB2312" w:eastAsia="仿宋_GB2312"/>
          <w:bCs/>
          <w:sz w:val="32"/>
        </w:rPr>
        <w:t>2024年度茅台战略研究院课题</w:t>
      </w:r>
      <w:r>
        <w:rPr>
          <w:rFonts w:ascii="仿宋_GB2312" w:eastAsia="仿宋_GB2312"/>
          <w:bCs/>
          <w:sz w:val="32"/>
        </w:rPr>
        <w:t>申</w:t>
      </w:r>
      <w:r>
        <w:rPr>
          <w:rFonts w:hint="eastAsia" w:ascii="仿宋_GB2312" w:eastAsia="仿宋_GB2312"/>
          <w:bCs/>
          <w:sz w:val="32"/>
        </w:rPr>
        <w:t>报</w:t>
      </w:r>
      <w:r>
        <w:rPr>
          <w:rFonts w:ascii="仿宋_GB2312" w:eastAsia="仿宋_GB2312"/>
          <w:bCs/>
          <w:sz w:val="32"/>
        </w:rPr>
        <w:t>作如下限定：</w:t>
      </w:r>
      <w:r>
        <w:rPr>
          <w:rFonts w:hint="eastAsia" w:ascii="仿宋_GB2312" w:eastAsia="仿宋_GB2312"/>
          <w:bCs/>
          <w:sz w:val="32"/>
        </w:rPr>
        <w:t>申请</w:t>
      </w:r>
      <w:r>
        <w:rPr>
          <w:rFonts w:ascii="仿宋_GB2312" w:eastAsia="仿宋_GB2312"/>
          <w:bCs/>
          <w:sz w:val="32"/>
        </w:rPr>
        <w:t>人同年度只能申报一个茅台</w:t>
      </w:r>
      <w:r>
        <w:rPr>
          <w:rFonts w:hint="eastAsia" w:ascii="仿宋_GB2312" w:eastAsia="仿宋_GB2312"/>
          <w:bCs/>
          <w:sz w:val="32"/>
        </w:rPr>
        <w:t>战略研究院课题</w:t>
      </w:r>
      <w:r>
        <w:rPr>
          <w:rFonts w:ascii="仿宋_GB2312" w:eastAsia="仿宋_GB2312"/>
          <w:bCs/>
          <w:sz w:val="32"/>
        </w:rPr>
        <w:t>，且不能作为课题组成员参与其他茅台战略研究院</w:t>
      </w:r>
      <w:r>
        <w:rPr>
          <w:rFonts w:hint="eastAsia" w:ascii="仿宋_GB2312" w:eastAsia="仿宋_GB2312"/>
          <w:bCs/>
          <w:sz w:val="32"/>
        </w:rPr>
        <w:t>课题</w:t>
      </w:r>
      <w:r>
        <w:rPr>
          <w:rFonts w:ascii="仿宋_GB2312" w:eastAsia="仿宋_GB2312"/>
          <w:bCs/>
          <w:sz w:val="32"/>
        </w:rPr>
        <w:t>；课题组成员同年度最多参与两个茅台战略研究院</w:t>
      </w:r>
      <w:r>
        <w:rPr>
          <w:rFonts w:hint="eastAsia" w:ascii="仿宋_GB2312" w:eastAsia="仿宋_GB2312"/>
          <w:bCs/>
          <w:sz w:val="32"/>
        </w:rPr>
        <w:t>课题</w:t>
      </w:r>
      <w:r>
        <w:rPr>
          <w:rFonts w:ascii="仿宋_GB2312" w:eastAsia="仿宋_GB2312"/>
          <w:bCs/>
          <w:sz w:val="32"/>
        </w:rPr>
        <w:t>申请；</w:t>
      </w:r>
      <w:r>
        <w:rPr>
          <w:rFonts w:hint="eastAsia" w:ascii="仿宋_GB2312" w:eastAsia="仿宋_GB2312"/>
          <w:bCs/>
          <w:sz w:val="32"/>
        </w:rPr>
        <w:t>在研</w:t>
      </w:r>
      <w:r>
        <w:rPr>
          <w:rFonts w:ascii="仿宋_GB2312" w:eastAsia="仿宋_GB2312"/>
          <w:bCs/>
          <w:sz w:val="32"/>
        </w:rPr>
        <w:t>茅台</w:t>
      </w:r>
      <w:r>
        <w:rPr>
          <w:rFonts w:hint="eastAsia" w:ascii="仿宋_GB2312" w:eastAsia="仿宋_GB2312"/>
          <w:bCs/>
          <w:sz w:val="32"/>
        </w:rPr>
        <w:t>战略研究院课题的</w:t>
      </w:r>
      <w:r>
        <w:rPr>
          <w:rFonts w:ascii="仿宋_GB2312" w:eastAsia="仿宋_GB2312"/>
          <w:bCs/>
          <w:sz w:val="32"/>
        </w:rPr>
        <w:t>课题组成员最多参与一个茅台战略研究院</w:t>
      </w:r>
      <w:r>
        <w:rPr>
          <w:rFonts w:hint="eastAsia" w:ascii="仿宋_GB2312" w:eastAsia="仿宋_GB2312"/>
          <w:bCs/>
          <w:sz w:val="32"/>
        </w:rPr>
        <w:t>课题</w:t>
      </w:r>
      <w:r>
        <w:rPr>
          <w:rFonts w:ascii="仿宋_GB2312" w:eastAsia="仿宋_GB2312"/>
          <w:bCs/>
          <w:sz w:val="32"/>
        </w:rPr>
        <w:t>申请。</w:t>
      </w:r>
    </w:p>
    <w:p>
      <w:pPr>
        <w:pStyle w:val="4"/>
        <w:spacing w:line="620" w:lineRule="exact"/>
        <w:ind w:firstLine="640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九</w:t>
      </w:r>
      <w:r>
        <w:rPr>
          <w:rFonts w:ascii="仿宋_GB2312" w:eastAsia="仿宋_GB2312"/>
          <w:bCs/>
          <w:sz w:val="32"/>
        </w:rPr>
        <w:t>、</w:t>
      </w:r>
      <w:r>
        <w:rPr>
          <w:rFonts w:hint="eastAsia" w:ascii="仿宋_GB2312" w:eastAsia="仿宋_GB2312"/>
          <w:bCs/>
          <w:sz w:val="32"/>
        </w:rPr>
        <w:t>申报课题实行同行专家通讯初评</w:t>
      </w:r>
      <w:r>
        <w:rPr>
          <w:rFonts w:ascii="仿宋_GB2312" w:eastAsia="仿宋_GB2312"/>
          <w:bCs/>
          <w:sz w:val="32"/>
        </w:rPr>
        <w:t>，初评采用《</w:t>
      </w:r>
      <w:r>
        <w:rPr>
          <w:rFonts w:hint="eastAsia" w:ascii="仿宋_GB2312" w:eastAsia="仿宋_GB2312"/>
          <w:bCs/>
          <w:sz w:val="32"/>
        </w:rPr>
        <w:t>茅台战略研究院</w:t>
      </w:r>
      <w:r>
        <w:rPr>
          <w:rFonts w:ascii="仿宋_GB2312" w:eastAsia="仿宋_GB2312"/>
          <w:bCs/>
          <w:sz w:val="32"/>
        </w:rPr>
        <w:t>课题论证活页》（以下简称《课题论证活页》）匿名方式，论证</w:t>
      </w:r>
      <w:r>
        <w:rPr>
          <w:rFonts w:hint="eastAsia" w:ascii="仿宋_GB2312" w:eastAsia="仿宋_GB2312"/>
          <w:bCs/>
          <w:sz w:val="32"/>
        </w:rPr>
        <w:t>部分</w:t>
      </w:r>
      <w:r>
        <w:rPr>
          <w:rFonts w:ascii="仿宋_GB2312" w:eastAsia="仿宋_GB2312"/>
          <w:bCs/>
          <w:sz w:val="32"/>
        </w:rPr>
        <w:t>字数不超过</w:t>
      </w:r>
      <w:r>
        <w:rPr>
          <w:rFonts w:hint="eastAsia" w:ascii="仿宋_GB2312" w:eastAsia="仿宋_GB2312"/>
          <w:bCs/>
          <w:sz w:val="32"/>
        </w:rPr>
        <w:t>7000</w:t>
      </w:r>
      <w:r>
        <w:rPr>
          <w:rFonts w:ascii="仿宋_GB2312" w:eastAsia="仿宋_GB2312"/>
          <w:bCs/>
          <w:sz w:val="32"/>
        </w:rPr>
        <w:t>字</w:t>
      </w:r>
      <w:r>
        <w:rPr>
          <w:rFonts w:hint="eastAsia" w:ascii="仿宋_GB2312" w:eastAsia="仿宋_GB2312"/>
          <w:bCs/>
          <w:sz w:val="32"/>
        </w:rPr>
        <w:t>，</w:t>
      </w:r>
      <w:r>
        <w:rPr>
          <w:rFonts w:ascii="仿宋_GB2312" w:eastAsia="仿宋_GB2312"/>
          <w:bCs/>
          <w:sz w:val="32"/>
        </w:rPr>
        <w:t>要按规定的方式列出前期相关研究成果，不得出现任何可能透露申请人身份的信息。</w:t>
      </w:r>
    </w:p>
    <w:p>
      <w:pPr>
        <w:pStyle w:val="5"/>
        <w:spacing w:line="620" w:lineRule="exact"/>
        <w:ind w:firstLine="640" w:firstLineChars="200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十、申报纪律要求</w:t>
      </w:r>
    </w:p>
    <w:p>
      <w:pPr>
        <w:pStyle w:val="5"/>
        <w:spacing w:line="620" w:lineRule="exact"/>
        <w:ind w:firstLine="640" w:firstLineChars="200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（一）贯彻落实中央《关于进一步加强科研诚信建设的若干意见》，申报课题须按照《茅台战略研究院课题申请书》和《课题论证活页》要求如实填写材料，保证申请信息的真实性和准确性、保证没有知识产权争议、没有违背科研诚信要求的行为。</w:t>
      </w:r>
    </w:p>
    <w:p>
      <w:pPr>
        <w:pStyle w:val="5"/>
        <w:spacing w:line="620" w:lineRule="exact"/>
        <w:ind w:firstLine="640" w:firstLineChars="200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（二）获准立项后，课题负责人在课题执行期间要遵守相关承诺，履行约定义务，按期完成研究任务，结题成果形式原则上须与预期成果一致；获准立项的《申报书》视为具有约束力的合作合同文本。最终成果由茅台战略研究院组织专家鉴定。除特殊情况外，最终研究成果须由茅台战略研究院鉴定、发布，擅自发布者视为自行终止合作协议。</w:t>
      </w:r>
    </w:p>
    <w:p>
      <w:pPr>
        <w:pStyle w:val="5"/>
        <w:spacing w:line="620" w:lineRule="exact"/>
        <w:ind w:firstLine="640" w:firstLineChars="200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（三）申请单位和申请人要切实把好政治方向关和学术质量关，认真审核申请信息的真实性和准确性。</w:t>
      </w:r>
    </w:p>
    <w:p>
      <w:pPr>
        <w:pStyle w:val="4"/>
        <w:spacing w:line="620" w:lineRule="exact"/>
        <w:rPr>
          <w:rFonts w:ascii="仿宋_GB2312" w:eastAsia="仿宋_GB2312"/>
          <w:bCs/>
          <w:sz w:val="32"/>
          <w:szCs w:val="20"/>
        </w:rPr>
      </w:pPr>
      <w:r>
        <w:rPr>
          <w:rFonts w:ascii="仿宋_GB2312" w:eastAsia="仿宋_GB2312" w:cs="Courier New"/>
          <w:bCs/>
          <w:sz w:val="32"/>
          <w:szCs w:val="21"/>
        </w:rPr>
        <w:t>十</w:t>
      </w:r>
      <w:r>
        <w:rPr>
          <w:rFonts w:hint="eastAsia" w:ascii="仿宋_GB2312" w:eastAsia="仿宋_GB2312" w:cs="Courier New"/>
          <w:bCs/>
          <w:sz w:val="32"/>
          <w:szCs w:val="21"/>
        </w:rPr>
        <w:t>一</w:t>
      </w:r>
      <w:r>
        <w:rPr>
          <w:rFonts w:ascii="仿宋_GB2312" w:eastAsia="仿宋_GB2312" w:cs="Courier New"/>
          <w:bCs/>
          <w:sz w:val="32"/>
          <w:szCs w:val="21"/>
        </w:rPr>
        <w:t>、</w:t>
      </w:r>
      <w:r>
        <w:rPr>
          <w:rFonts w:hint="eastAsia" w:ascii="仿宋_GB2312" w:eastAsia="仿宋_GB2312" w:cs="Courier New"/>
          <w:bCs/>
          <w:sz w:val="32"/>
          <w:szCs w:val="21"/>
        </w:rPr>
        <w:t>课题</w:t>
      </w:r>
      <w:r>
        <w:rPr>
          <w:rFonts w:ascii="仿宋_GB2312" w:eastAsia="仿宋_GB2312" w:cs="Courier New"/>
          <w:bCs/>
          <w:sz w:val="32"/>
          <w:szCs w:val="21"/>
        </w:rPr>
        <w:t>申报材料从</w:t>
      </w:r>
      <w:r>
        <w:rPr>
          <w:rFonts w:hint="eastAsia" w:ascii="仿宋_GB2312" w:eastAsia="仿宋_GB2312" w:cs="Courier New"/>
          <w:bCs/>
          <w:sz w:val="32"/>
          <w:szCs w:val="21"/>
        </w:rPr>
        <w:t>茅台集团官网</w:t>
      </w:r>
      <w:r>
        <w:rPr>
          <w:rFonts w:ascii="仿宋_GB2312" w:eastAsia="仿宋_GB2312" w:cs="Courier New"/>
          <w:bCs/>
          <w:sz w:val="32"/>
          <w:szCs w:val="21"/>
        </w:rPr>
        <w:t>下载</w:t>
      </w:r>
      <w:r>
        <w:rPr>
          <w:rFonts w:hint="eastAsia" w:ascii="仿宋_GB2312" w:eastAsia="仿宋_GB2312" w:cs="Courier New"/>
          <w:bCs/>
          <w:sz w:val="32"/>
          <w:szCs w:val="21"/>
        </w:rPr>
        <w:t>。</w:t>
      </w:r>
    </w:p>
    <w:p>
      <w:pPr>
        <w:pStyle w:val="4"/>
        <w:rPr>
          <w:rFonts w:ascii="仿宋_GB2312" w:eastAsia="仿宋_GB2312"/>
          <w:bCs/>
          <w:sz w:val="32"/>
          <w:szCs w:val="20"/>
        </w:rPr>
      </w:pPr>
      <w:r>
        <w:rPr>
          <w:rFonts w:ascii="仿宋_GB2312" w:eastAsia="仿宋_GB2312"/>
          <w:bCs/>
          <w:sz w:val="32"/>
          <w:szCs w:val="20"/>
        </w:rPr>
        <w:t>十</w:t>
      </w:r>
      <w:r>
        <w:rPr>
          <w:rFonts w:hint="eastAsia" w:ascii="仿宋_GB2312" w:eastAsia="仿宋_GB2312"/>
          <w:bCs/>
          <w:sz w:val="32"/>
          <w:szCs w:val="20"/>
        </w:rPr>
        <w:t>二</w:t>
      </w:r>
      <w:r>
        <w:rPr>
          <w:rFonts w:ascii="仿宋_GB2312" w:eastAsia="仿宋_GB2312"/>
          <w:bCs/>
          <w:sz w:val="32"/>
          <w:szCs w:val="20"/>
        </w:rPr>
        <w:t>、</w:t>
      </w:r>
      <w:r>
        <w:rPr>
          <w:rFonts w:hint="eastAsia" w:ascii="仿宋_GB2312" w:eastAsia="仿宋_GB2312"/>
          <w:bCs/>
          <w:sz w:val="32"/>
          <w:szCs w:val="20"/>
        </w:rPr>
        <w:t>课题</w:t>
      </w:r>
      <w:r>
        <w:rPr>
          <w:rFonts w:ascii="仿宋_GB2312" w:eastAsia="仿宋_GB2312"/>
          <w:bCs/>
          <w:sz w:val="32"/>
          <w:szCs w:val="20"/>
        </w:rPr>
        <w:t>申报时间为</w:t>
      </w:r>
      <w:r>
        <w:rPr>
          <w:rFonts w:ascii="黑体" w:hAnsi="黑体" w:eastAsia="黑体"/>
          <w:bCs/>
          <w:sz w:val="32"/>
          <w:szCs w:val="20"/>
        </w:rPr>
        <w:t>202</w:t>
      </w:r>
      <w:r>
        <w:rPr>
          <w:rFonts w:hint="eastAsia" w:ascii="黑体" w:hAnsi="黑体" w:eastAsia="黑体"/>
          <w:bCs/>
          <w:sz w:val="32"/>
          <w:szCs w:val="20"/>
        </w:rPr>
        <w:t>4</w:t>
      </w:r>
      <w:r>
        <w:rPr>
          <w:rFonts w:ascii="黑体" w:hAnsi="黑体" w:eastAsia="黑体"/>
          <w:bCs/>
          <w:sz w:val="32"/>
          <w:szCs w:val="20"/>
        </w:rPr>
        <w:t>年</w:t>
      </w:r>
      <w:r>
        <w:rPr>
          <w:rFonts w:hint="eastAsia" w:ascii="黑体" w:hAnsi="黑体" w:eastAsia="黑体"/>
          <w:bCs/>
          <w:sz w:val="32"/>
          <w:szCs w:val="20"/>
        </w:rPr>
        <w:t>4</w:t>
      </w:r>
      <w:r>
        <w:rPr>
          <w:rFonts w:ascii="黑体" w:hAnsi="黑体" w:eastAsia="黑体"/>
          <w:bCs/>
          <w:sz w:val="32"/>
          <w:szCs w:val="20"/>
        </w:rPr>
        <w:t>月</w:t>
      </w:r>
      <w:r>
        <w:rPr>
          <w:rFonts w:hint="eastAsia" w:ascii="黑体" w:hAnsi="黑体" w:eastAsia="黑体"/>
          <w:bCs/>
          <w:sz w:val="32"/>
          <w:szCs w:val="20"/>
        </w:rPr>
        <w:t>20</w:t>
      </w:r>
      <w:r>
        <w:rPr>
          <w:rFonts w:ascii="黑体" w:hAnsi="黑体" w:eastAsia="黑体"/>
          <w:bCs/>
          <w:sz w:val="32"/>
          <w:szCs w:val="20"/>
        </w:rPr>
        <w:t>日至20</w:t>
      </w:r>
      <w:r>
        <w:rPr>
          <w:rFonts w:hint="eastAsia" w:ascii="黑体" w:hAnsi="黑体" w:eastAsia="黑体"/>
          <w:bCs/>
          <w:sz w:val="32"/>
          <w:szCs w:val="20"/>
        </w:rPr>
        <w:t>24</w:t>
      </w:r>
      <w:r>
        <w:rPr>
          <w:rFonts w:ascii="黑体" w:hAnsi="黑体" w:eastAsia="黑体"/>
          <w:bCs/>
          <w:sz w:val="32"/>
          <w:szCs w:val="20"/>
        </w:rPr>
        <w:t>年</w:t>
      </w:r>
      <w:r>
        <w:rPr>
          <w:rFonts w:hint="eastAsia" w:ascii="黑体" w:hAnsi="黑体" w:eastAsia="黑体"/>
          <w:bCs/>
          <w:sz w:val="32"/>
          <w:szCs w:val="20"/>
        </w:rPr>
        <w:t>5</w:t>
      </w:r>
      <w:r>
        <w:rPr>
          <w:rFonts w:ascii="黑体" w:hAnsi="黑体" w:eastAsia="黑体"/>
          <w:bCs/>
          <w:sz w:val="32"/>
          <w:szCs w:val="20"/>
        </w:rPr>
        <w:t>月</w:t>
      </w:r>
      <w:r>
        <w:rPr>
          <w:rFonts w:hint="eastAsia" w:ascii="黑体" w:hAnsi="黑体" w:eastAsia="黑体"/>
          <w:bCs/>
          <w:sz w:val="32"/>
          <w:szCs w:val="20"/>
        </w:rPr>
        <w:t>20</w:t>
      </w:r>
      <w:r>
        <w:rPr>
          <w:rFonts w:ascii="黑体" w:hAnsi="黑体" w:eastAsia="黑体"/>
          <w:bCs/>
          <w:sz w:val="32"/>
          <w:szCs w:val="20"/>
        </w:rPr>
        <w:t>日。</w:t>
      </w:r>
      <w:r>
        <w:rPr>
          <w:rFonts w:hint="eastAsia" w:ascii="黑体" w:hAnsi="黑体" w:eastAsia="黑体"/>
          <w:bCs/>
          <w:sz w:val="32"/>
          <w:szCs w:val="20"/>
        </w:rPr>
        <w:t>5</w:t>
      </w:r>
      <w:r>
        <w:rPr>
          <w:rFonts w:ascii="黑体" w:hAnsi="黑体" w:eastAsia="黑体"/>
          <w:bCs/>
          <w:sz w:val="32"/>
          <w:szCs w:val="20"/>
        </w:rPr>
        <w:t>月</w:t>
      </w:r>
      <w:r>
        <w:rPr>
          <w:rFonts w:hint="eastAsia" w:ascii="黑体" w:hAnsi="黑体" w:eastAsia="黑体"/>
          <w:bCs/>
          <w:sz w:val="32"/>
          <w:szCs w:val="20"/>
        </w:rPr>
        <w:t>20</w:t>
      </w:r>
      <w:r>
        <w:rPr>
          <w:rFonts w:ascii="黑体" w:hAnsi="黑体" w:eastAsia="黑体"/>
          <w:bCs/>
          <w:sz w:val="32"/>
          <w:szCs w:val="20"/>
        </w:rPr>
        <w:t>日前</w:t>
      </w:r>
      <w:r>
        <w:rPr>
          <w:rFonts w:ascii="仿宋_GB2312" w:eastAsia="仿宋_GB2312"/>
          <w:bCs/>
          <w:sz w:val="32"/>
          <w:szCs w:val="20"/>
        </w:rPr>
        <w:t>将纸质版《</w:t>
      </w:r>
      <w:r>
        <w:rPr>
          <w:rFonts w:hint="eastAsia" w:ascii="仿宋_GB2312" w:eastAsia="仿宋_GB2312"/>
          <w:bCs/>
          <w:sz w:val="32"/>
          <w:szCs w:val="20"/>
        </w:rPr>
        <w:t>申报</w:t>
      </w:r>
      <w:r>
        <w:rPr>
          <w:rFonts w:ascii="仿宋_GB2312" w:eastAsia="仿宋_GB2312"/>
          <w:bCs/>
          <w:sz w:val="32"/>
          <w:szCs w:val="20"/>
        </w:rPr>
        <w:t>书》</w:t>
      </w:r>
      <w:r>
        <w:rPr>
          <w:rFonts w:hint="eastAsia" w:ascii="仿宋_GB2312" w:eastAsia="仿宋_GB2312"/>
          <w:bCs/>
          <w:sz w:val="32"/>
          <w:szCs w:val="20"/>
        </w:rPr>
        <w:t>（单位审查盖章版本，一式3份）</w:t>
      </w:r>
      <w:r>
        <w:rPr>
          <w:rFonts w:ascii="仿宋_GB2312" w:eastAsia="仿宋_GB2312"/>
          <w:bCs/>
          <w:sz w:val="32"/>
          <w:szCs w:val="20"/>
        </w:rPr>
        <w:t>、电子版</w:t>
      </w:r>
      <w:r>
        <w:rPr>
          <w:rFonts w:ascii="仿宋_GB2312" w:eastAsia="仿宋_GB2312"/>
          <w:bCs/>
          <w:sz w:val="32"/>
        </w:rPr>
        <w:t>《</w:t>
      </w:r>
      <w:r>
        <w:rPr>
          <w:rFonts w:hint="eastAsia" w:ascii="仿宋_GB2312" w:eastAsia="仿宋_GB2312"/>
          <w:bCs/>
          <w:sz w:val="32"/>
        </w:rPr>
        <w:t>申报</w:t>
      </w:r>
      <w:r>
        <w:rPr>
          <w:rFonts w:ascii="仿宋_GB2312" w:eastAsia="仿宋_GB2312"/>
          <w:bCs/>
          <w:sz w:val="32"/>
        </w:rPr>
        <w:t>书》</w:t>
      </w:r>
      <w:r>
        <w:rPr>
          <w:rFonts w:hint="eastAsia" w:ascii="仿宋_GB2312" w:eastAsia="仿宋_GB2312"/>
          <w:bCs/>
          <w:sz w:val="32"/>
        </w:rPr>
        <w:t>《课题论证活页》</w:t>
      </w:r>
      <w:r>
        <w:rPr>
          <w:rFonts w:ascii="仿宋_GB2312" w:eastAsia="仿宋_GB2312"/>
          <w:bCs/>
          <w:sz w:val="32"/>
          <w:szCs w:val="20"/>
        </w:rPr>
        <w:t>报送至</w:t>
      </w:r>
      <w:r>
        <w:rPr>
          <w:rFonts w:hint="eastAsia" w:ascii="仿宋_GB2312" w:eastAsia="仿宋_GB2312"/>
          <w:bCs/>
          <w:sz w:val="32"/>
          <w:szCs w:val="20"/>
        </w:rPr>
        <w:t>茅台战略研究院秘书处（邮寄地址：</w:t>
      </w:r>
      <w:r>
        <w:rPr>
          <w:rFonts w:hint="eastAsia" w:ascii="黑体" w:hAnsi="黑体" w:eastAsia="黑体"/>
          <w:bCs/>
          <w:sz w:val="32"/>
          <w:szCs w:val="20"/>
        </w:rPr>
        <w:t>贵州省仁怀市鲁班大道茅台学院茅台战略研究院秘书处饶小红收，电子邮箱：</w:t>
      </w:r>
      <w:r>
        <w:rPr>
          <w:rFonts w:hint="eastAsia" w:ascii="仿宋_GB2312" w:eastAsia="仿宋_GB2312"/>
          <w:bCs/>
          <w:sz w:val="32"/>
          <w:szCs w:val="20"/>
        </w:rPr>
        <w:t>raoxiaohong</w:t>
      </w:r>
      <w:r>
        <w:rPr>
          <w:rFonts w:ascii="仿宋_GB2312" w:eastAsia="仿宋_GB2312"/>
          <w:bCs/>
          <w:sz w:val="32"/>
          <w:szCs w:val="20"/>
        </w:rPr>
        <w:t>@mtxy.edu.cn</w:t>
      </w:r>
      <w:r>
        <w:rPr>
          <w:rFonts w:hint="eastAsia" w:ascii="仿宋_GB2312" w:eastAsia="仿宋_GB2312"/>
          <w:bCs/>
          <w:sz w:val="32"/>
          <w:szCs w:val="20"/>
        </w:rPr>
        <w:t>）</w:t>
      </w:r>
      <w:r>
        <w:rPr>
          <w:rFonts w:ascii="仿宋_GB2312" w:eastAsia="仿宋_GB2312"/>
          <w:bCs/>
          <w:sz w:val="32"/>
          <w:szCs w:val="20"/>
        </w:rPr>
        <w:t>，逾期</w:t>
      </w:r>
      <w:r>
        <w:rPr>
          <w:rFonts w:hint="eastAsia" w:ascii="仿宋_GB2312" w:eastAsia="仿宋_GB2312"/>
          <w:bCs/>
          <w:sz w:val="32"/>
          <w:szCs w:val="20"/>
        </w:rPr>
        <w:t>不再</w:t>
      </w:r>
      <w:r>
        <w:rPr>
          <w:rFonts w:ascii="仿宋_GB2312" w:eastAsia="仿宋_GB2312"/>
          <w:bCs/>
          <w:sz w:val="32"/>
          <w:szCs w:val="20"/>
        </w:rPr>
        <w:t>受理申报。</w:t>
      </w:r>
    </w:p>
    <w:p>
      <w:pPr>
        <w:pStyle w:val="4"/>
        <w:rPr>
          <w:rFonts w:ascii="仿宋_GB2312" w:eastAsia="仿宋_GB2312"/>
          <w:bCs/>
          <w:sz w:val="32"/>
          <w:szCs w:val="20"/>
        </w:rPr>
      </w:pPr>
    </w:p>
    <w:p>
      <w:pPr>
        <w:pStyle w:val="4"/>
        <w:rPr>
          <w:rFonts w:ascii="仿宋_GB2312" w:eastAsia="仿宋_GB2312"/>
          <w:bCs/>
          <w:sz w:val="32"/>
          <w:szCs w:val="20"/>
        </w:rPr>
      </w:pPr>
    </w:p>
    <w:p>
      <w:pPr>
        <w:pStyle w:val="4"/>
        <w:rPr>
          <w:rFonts w:ascii="仿宋_GB2312" w:eastAsia="仿宋_GB2312"/>
          <w:bCs/>
          <w:sz w:val="32"/>
          <w:szCs w:val="20"/>
        </w:rPr>
      </w:pPr>
    </w:p>
    <w:p>
      <w:pPr>
        <w:pStyle w:val="4"/>
        <w:rPr>
          <w:rFonts w:ascii="仿宋_GB2312" w:eastAsia="仿宋_GB2312"/>
          <w:bCs/>
          <w:sz w:val="32"/>
          <w:szCs w:val="20"/>
        </w:rPr>
      </w:pPr>
    </w:p>
    <w:p>
      <w:pPr>
        <w:pStyle w:val="4"/>
        <w:rPr>
          <w:rFonts w:ascii="仿宋_GB2312" w:eastAsia="仿宋_GB2312"/>
          <w:bCs/>
          <w:sz w:val="32"/>
          <w:szCs w:val="20"/>
        </w:rPr>
      </w:pPr>
    </w:p>
    <w:p>
      <w:pPr>
        <w:pStyle w:val="4"/>
        <w:rPr>
          <w:rFonts w:ascii="仿宋_GB2312" w:eastAsia="仿宋_GB2312"/>
          <w:bCs/>
          <w:sz w:val="32"/>
          <w:szCs w:val="20"/>
        </w:rPr>
      </w:pPr>
    </w:p>
    <w:p>
      <w:pPr>
        <w:pStyle w:val="4"/>
        <w:rPr>
          <w:rFonts w:ascii="仿宋_GB2312" w:eastAsia="仿宋_GB2312"/>
          <w:bCs/>
          <w:sz w:val="32"/>
          <w:szCs w:val="20"/>
        </w:rPr>
      </w:pPr>
    </w:p>
    <w:p>
      <w:pPr>
        <w:pStyle w:val="4"/>
        <w:rPr>
          <w:rFonts w:ascii="仿宋_GB2312" w:eastAsia="仿宋_GB2312"/>
          <w:bCs/>
          <w:sz w:val="32"/>
          <w:szCs w:val="20"/>
        </w:rPr>
      </w:pPr>
    </w:p>
    <w:p>
      <w:pPr>
        <w:pStyle w:val="4"/>
        <w:rPr>
          <w:rFonts w:ascii="仿宋_GB2312" w:eastAsia="仿宋_GB2312"/>
          <w:bCs/>
          <w:sz w:val="32"/>
          <w:szCs w:val="20"/>
        </w:rPr>
      </w:pPr>
    </w:p>
    <w:p>
      <w:pPr>
        <w:pStyle w:val="4"/>
        <w:rPr>
          <w:rFonts w:ascii="仿宋_GB2312" w:eastAsia="仿宋_GB2312"/>
          <w:bCs/>
          <w:sz w:val="32"/>
          <w:szCs w:val="20"/>
        </w:rPr>
      </w:pPr>
    </w:p>
    <w:p>
      <w:pPr>
        <w:pStyle w:val="4"/>
        <w:rPr>
          <w:rFonts w:ascii="仿宋_GB2312" w:eastAsia="仿宋_GB2312"/>
          <w:bCs/>
          <w:sz w:val="32"/>
          <w:szCs w:val="20"/>
        </w:rPr>
      </w:pPr>
    </w:p>
    <w:p>
      <w:pPr>
        <w:pStyle w:val="4"/>
        <w:rPr>
          <w:rFonts w:ascii="仿宋_GB2312" w:eastAsia="仿宋_GB2312"/>
          <w:bCs/>
          <w:sz w:val="32"/>
          <w:szCs w:val="20"/>
        </w:rPr>
      </w:pPr>
    </w:p>
    <w:p>
      <w:pPr>
        <w:pStyle w:val="4"/>
        <w:rPr>
          <w:rFonts w:ascii="仿宋_GB2312" w:eastAsia="仿宋_GB2312"/>
          <w:bCs/>
          <w:sz w:val="32"/>
          <w:szCs w:val="20"/>
        </w:rPr>
      </w:pPr>
    </w:p>
    <w:p>
      <w:pPr>
        <w:pStyle w:val="4"/>
        <w:rPr>
          <w:rFonts w:ascii="仿宋_GB2312" w:eastAsia="仿宋_GB2312"/>
          <w:bCs/>
          <w:sz w:val="32"/>
          <w:szCs w:val="20"/>
        </w:rPr>
      </w:pPr>
    </w:p>
    <w:p>
      <w:pPr>
        <w:pStyle w:val="4"/>
        <w:rPr>
          <w:rFonts w:ascii="仿宋_GB2312" w:eastAsia="仿宋_GB2312"/>
          <w:bCs/>
          <w:sz w:val="32"/>
          <w:szCs w:val="20"/>
        </w:rPr>
      </w:pPr>
    </w:p>
    <w:p>
      <w:pPr>
        <w:spacing w:after="312" w:afterLines="100" w:line="620" w:lineRule="exact"/>
        <w:ind w:firstLine="624" w:firstLineChars="200"/>
        <w:rPr>
          <w:rFonts w:ascii="黑体" w:hAnsi="黑体" w:eastAsia="黑体" w:cs="仿宋_GB2312"/>
          <w:spacing w:val="-4"/>
          <w:sz w:val="32"/>
          <w:szCs w:val="32"/>
        </w:rPr>
      </w:pPr>
      <w:r>
        <w:rPr>
          <w:rFonts w:hint="eastAsia" w:ascii="黑体" w:hAnsi="黑体" w:eastAsia="黑体" w:cs="仿宋_GB2312"/>
          <w:spacing w:val="-4"/>
          <w:sz w:val="32"/>
          <w:szCs w:val="32"/>
        </w:rPr>
        <w:t>一、人工智能推动茅台集团“三大主业”发展战略及实施路径研究</w:t>
      </w:r>
    </w:p>
    <w:p>
      <w:pPr>
        <w:spacing w:after="312" w:afterLines="100"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在当今数字化时代，人工智能技术飞速发展，对各行业产生深远影响。茅台集团作为中国著名酒企，围绕“酒的制造、销售及相关配套产品制造和服务,综合金融服务(产业金融方向),酒旅融合产业”三大主业谋发展。然而，市场竞争日益激烈，传统发展模式面临挑战。在此背景下，如何利用人工智能技术优化生产、提升服务质量、增强竞争力，实现三大主业的协同发展和创新突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实现茅台集团三大主业的协同发展，提升整体竞争力，引领行业创新。</w:t>
      </w:r>
    </w:p>
    <w:p>
      <w:pPr>
        <w:spacing w:after="312" w:afterLines="100" w:line="620" w:lineRule="exact"/>
        <w:ind w:firstLine="640" w:firstLineChars="200"/>
        <w:rPr>
          <w:rFonts w:ascii="黑体" w:hAnsi="黑体" w:eastAsia="黑体" w:cs="仿宋_GB2312"/>
          <w:spacing w:val="-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hint="eastAsia" w:ascii="黑体" w:hAnsi="黑体" w:eastAsia="黑体" w:cs="仿宋_GB2312"/>
          <w:spacing w:val="-12"/>
          <w:sz w:val="32"/>
          <w:szCs w:val="32"/>
        </w:rPr>
        <w:t>银发经济发展背景下的茅台集团产业转型战略及实施路径研究</w:t>
      </w:r>
    </w:p>
    <w:p>
      <w:pPr>
        <w:spacing w:after="312" w:afterLines="100"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第七次全国人口普查数据,我国60岁及以上老年人口达2.6亿,占全国总人口的18.7%,且老年人口规模还在持续快速增长。人口老龄化趋势的加快，促进了“银发经济”的发展。在“银发经济”快速发展的背景下，茅台集团如何抓住“银发经济”的机遇，如何明确在银发市场中的品牌形象和价值主张，如何在适应银发经济发展的背景下进行产业转型升级，提高市场竞争力，实现可持续发展。</w:t>
      </w:r>
    </w:p>
    <w:p>
      <w:pPr>
        <w:spacing w:after="312" w:afterLines="100" w:line="62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三、茅台集团数字资产发展战略及实施路径研究</w:t>
      </w:r>
    </w:p>
    <w:p>
      <w:pPr>
        <w:spacing w:after="312" w:afterLines="100"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茅台集团</w:t>
      </w:r>
      <w:r>
        <w:rPr>
          <w:rFonts w:ascii="仿宋_GB2312" w:hAnsi="仿宋_GB2312" w:eastAsia="仿宋_GB2312" w:cs="仿宋_GB2312"/>
          <w:sz w:val="32"/>
          <w:szCs w:val="32"/>
        </w:rPr>
        <w:t>近年推出了“i茅台”数字营销平台，打造“巽风”数实融合世界，完成工业互联网标识解析二级节点的建设等拥抱数字化的工作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通过这些平台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运营，</w:t>
      </w:r>
      <w:r>
        <w:rPr>
          <w:rFonts w:hint="eastAsia" w:ascii="仿宋_GB2312" w:hAnsi="仿宋_GB2312" w:eastAsia="仿宋_GB2312" w:cs="仿宋_GB2312"/>
          <w:sz w:val="32"/>
          <w:szCs w:val="32"/>
        </w:rPr>
        <w:t>吸引了大批用户，</w:t>
      </w:r>
      <w:r>
        <w:rPr>
          <w:rFonts w:ascii="仿宋_GB2312" w:hAnsi="仿宋_GB2312" w:eastAsia="仿宋_GB2312" w:cs="仿宋_GB2312"/>
          <w:sz w:val="32"/>
          <w:szCs w:val="32"/>
        </w:rPr>
        <w:t>也沉淀了一批数字资产</w:t>
      </w:r>
      <w:r>
        <w:rPr>
          <w:rFonts w:hint="eastAsia" w:ascii="仿宋_GB2312" w:hAnsi="仿宋_GB2312" w:eastAsia="仿宋_GB2312" w:cs="仿宋_GB2312"/>
          <w:sz w:val="32"/>
          <w:szCs w:val="32"/>
        </w:rPr>
        <w:t>。但茅台集团在数字资产如何运用、如何交易以及如何与实体资产进一步融合，还需要继续</w:t>
      </w:r>
      <w:r>
        <w:rPr>
          <w:rFonts w:ascii="仿宋_GB2312" w:hAnsi="仿宋_GB2312" w:eastAsia="仿宋_GB2312" w:cs="仿宋_GB2312"/>
          <w:sz w:val="32"/>
          <w:szCs w:val="32"/>
        </w:rPr>
        <w:t>摸索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after="312" w:afterLines="100" w:line="62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四、茅台集团“十五五”战略目标及增长路径研究</w:t>
      </w:r>
    </w:p>
    <w:p>
      <w:pPr>
        <w:spacing w:after="312" w:afterLines="100"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4" w:name="_GoBack"/>
      <w:r>
        <w:rPr>
          <w:rFonts w:ascii="仿宋_GB2312" w:hAnsi="仿宋_GB2312" w:eastAsia="仿宋_GB2312" w:cs="仿宋_GB2312"/>
          <w:sz w:val="32"/>
          <w:szCs w:val="32"/>
        </w:rPr>
        <w:t>在当前经济形势下，茅台集团面临着新的发展机遇和挑战。“十五五”时期是茅台集团实现更高质量发展的关键阶段。随着市场竞争的加剧和消费需求的变化，茅台集团需要明确战略目标，探索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有效的增长路径，助力茅台集团在品牌建设、科技创新、产品创新、市场拓展、文化建设、ESG管理等方面取得新突破，实现可持续发展。</w:t>
      </w:r>
    </w:p>
    <w:bookmarkEnd w:id="4"/>
    <w:p>
      <w:pPr>
        <w:spacing w:after="312" w:afterLines="100" w:line="620" w:lineRule="exact"/>
        <w:ind w:firstLine="608" w:firstLineChars="200"/>
        <w:rPr>
          <w:rFonts w:ascii="黑体" w:hAnsi="黑体" w:eastAsia="黑体" w:cs="仿宋_GB2312"/>
          <w:spacing w:val="-8"/>
          <w:sz w:val="32"/>
          <w:szCs w:val="32"/>
        </w:rPr>
      </w:pPr>
      <w:r>
        <w:rPr>
          <w:rFonts w:hint="eastAsia" w:ascii="黑体" w:hAnsi="黑体" w:eastAsia="黑体" w:cs="仿宋_GB2312"/>
          <w:spacing w:val="-8"/>
          <w:sz w:val="32"/>
          <w:szCs w:val="32"/>
        </w:rPr>
        <w:t>五、人口分布新格局下茅台集团区域布局战略及实施路径研究</w:t>
      </w:r>
    </w:p>
    <w:p>
      <w:pPr>
        <w:spacing w:after="312" w:afterLines="100" w:line="620" w:lineRule="exac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在当前人口分布新格局的背景下，各地区的消费市场和消费需求呈现出多样化和差异化的特点。茅台集团作为国内知名的白酒企业，其区域布局战略的科学性和适应性面临着新的挑战和机遇。</w:t>
      </w:r>
      <w:r>
        <w:rPr>
          <w:rFonts w:ascii="仿宋_GB2312" w:hAnsi="Calibri" w:eastAsia="仿宋_GB2312" w:cs="Times New Roman"/>
          <w:color w:val="000000"/>
          <w:sz w:val="32"/>
          <w:szCs w:val="32"/>
        </w:rPr>
        <w:t>在人口分布新格局背景下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，</w:t>
      </w:r>
      <w:r>
        <w:rPr>
          <w:rFonts w:ascii="仿宋_GB2312" w:hAnsi="Calibri" w:eastAsia="仿宋_GB2312" w:cs="Times New Roman"/>
          <w:color w:val="000000"/>
          <w:sz w:val="32"/>
          <w:szCs w:val="32"/>
        </w:rPr>
        <w:t>茅台集团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如何根据人口变化优化产业布局，拓展市场，实现更精准的区域发展，提升市场竞争力。</w:t>
      </w:r>
    </w:p>
    <w:p>
      <w:pPr>
        <w:spacing w:after="312" w:afterLines="100" w:line="62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六、茅台集团产业生态化战略及其路径研究</w:t>
      </w:r>
    </w:p>
    <w:p>
      <w:pPr>
        <w:spacing w:after="312" w:afterLines="100" w:line="620" w:lineRule="exact"/>
        <w:ind w:firstLine="640" w:firstLineChars="200"/>
        <w:rPr>
          <w:rFonts w:ascii="Calibri" w:hAnsi="Calibri" w:eastAsia="宋体" w:cs="Times New Roma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在环保意识增强和可持续发展重要性凸显的当下，茅台集团面临转型挑战。为实现长远发展，集团积极探索产业生态化战略，寻求经济与生态平衡。聚焦产业“生态化”，研究形成正面和负面清单，明确茅台哪些领域能做，哪些不能做；茅台品牌哪些领域可以用，哪些不能用，哪些仅在引导阶段可以用。</w:t>
      </w:r>
    </w:p>
    <w:p>
      <w:pPr>
        <w:spacing w:after="312" w:afterLines="100" w:line="6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decimal" w:pos="0"/>
        </w:tabs>
        <w:snapToGrid w:val="0"/>
        <w:spacing w:line="62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tabs>
          <w:tab w:val="decimal" w:pos="0"/>
        </w:tabs>
        <w:snapToGrid w:val="0"/>
        <w:spacing w:line="62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tabs>
          <w:tab w:val="decimal" w:pos="0"/>
        </w:tabs>
        <w:snapToGrid w:val="0"/>
        <w:spacing w:line="62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tabs>
          <w:tab w:val="decimal" w:pos="0"/>
        </w:tabs>
        <w:snapToGrid w:val="0"/>
        <w:spacing w:line="62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line="576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7869029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7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3059806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7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MDQ0NzFlNDg4NTQ4NWRhMDU5ODA1MDY4N2ZhYTIifQ=="/>
  </w:docVars>
  <w:rsids>
    <w:rsidRoot w:val="065A6D24"/>
    <w:rsid w:val="00001259"/>
    <w:rsid w:val="000273C9"/>
    <w:rsid w:val="00056F96"/>
    <w:rsid w:val="00065C13"/>
    <w:rsid w:val="00067960"/>
    <w:rsid w:val="00080C9F"/>
    <w:rsid w:val="0009462D"/>
    <w:rsid w:val="00095D1A"/>
    <w:rsid w:val="000B450B"/>
    <w:rsid w:val="000D4B7A"/>
    <w:rsid w:val="000E51AF"/>
    <w:rsid w:val="000E5301"/>
    <w:rsid w:val="000F0C2B"/>
    <w:rsid w:val="00120149"/>
    <w:rsid w:val="00140B82"/>
    <w:rsid w:val="00146405"/>
    <w:rsid w:val="0015649B"/>
    <w:rsid w:val="0016260A"/>
    <w:rsid w:val="00166E71"/>
    <w:rsid w:val="00190046"/>
    <w:rsid w:val="001B0F15"/>
    <w:rsid w:val="001C3913"/>
    <w:rsid w:val="001D4719"/>
    <w:rsid w:val="00206F63"/>
    <w:rsid w:val="00215909"/>
    <w:rsid w:val="00220E55"/>
    <w:rsid w:val="00282F3F"/>
    <w:rsid w:val="00290566"/>
    <w:rsid w:val="00292884"/>
    <w:rsid w:val="00295681"/>
    <w:rsid w:val="00295EE9"/>
    <w:rsid w:val="002C1E42"/>
    <w:rsid w:val="002D1F50"/>
    <w:rsid w:val="002D2496"/>
    <w:rsid w:val="002D5795"/>
    <w:rsid w:val="002D68E2"/>
    <w:rsid w:val="002E4A3A"/>
    <w:rsid w:val="00340844"/>
    <w:rsid w:val="00374DA5"/>
    <w:rsid w:val="0038416A"/>
    <w:rsid w:val="00392A1B"/>
    <w:rsid w:val="003963AB"/>
    <w:rsid w:val="003A467D"/>
    <w:rsid w:val="003D5E65"/>
    <w:rsid w:val="003D7A4B"/>
    <w:rsid w:val="003E0DC1"/>
    <w:rsid w:val="003E38A3"/>
    <w:rsid w:val="003E4EC5"/>
    <w:rsid w:val="003E6EA2"/>
    <w:rsid w:val="003E7E02"/>
    <w:rsid w:val="003F4E2E"/>
    <w:rsid w:val="00400CBA"/>
    <w:rsid w:val="00416143"/>
    <w:rsid w:val="004212E4"/>
    <w:rsid w:val="00422189"/>
    <w:rsid w:val="00423C4F"/>
    <w:rsid w:val="00426F1B"/>
    <w:rsid w:val="004348C7"/>
    <w:rsid w:val="00456C2E"/>
    <w:rsid w:val="004638FD"/>
    <w:rsid w:val="00473EB8"/>
    <w:rsid w:val="00476DE6"/>
    <w:rsid w:val="00490194"/>
    <w:rsid w:val="004B0B55"/>
    <w:rsid w:val="004B3EED"/>
    <w:rsid w:val="004C3A32"/>
    <w:rsid w:val="00510C52"/>
    <w:rsid w:val="0051584B"/>
    <w:rsid w:val="0053330A"/>
    <w:rsid w:val="005501AA"/>
    <w:rsid w:val="00550D1C"/>
    <w:rsid w:val="00552690"/>
    <w:rsid w:val="00553713"/>
    <w:rsid w:val="00563326"/>
    <w:rsid w:val="00563DBB"/>
    <w:rsid w:val="00567A02"/>
    <w:rsid w:val="00580FD0"/>
    <w:rsid w:val="005A7FB1"/>
    <w:rsid w:val="005B4F87"/>
    <w:rsid w:val="005B7877"/>
    <w:rsid w:val="005C0E6E"/>
    <w:rsid w:val="005C1E0F"/>
    <w:rsid w:val="005E2A79"/>
    <w:rsid w:val="005F3CC8"/>
    <w:rsid w:val="0062576D"/>
    <w:rsid w:val="006309D8"/>
    <w:rsid w:val="00657C03"/>
    <w:rsid w:val="00667C03"/>
    <w:rsid w:val="00667C6B"/>
    <w:rsid w:val="00671887"/>
    <w:rsid w:val="00683DAD"/>
    <w:rsid w:val="006845ED"/>
    <w:rsid w:val="006C0C6A"/>
    <w:rsid w:val="006C41CF"/>
    <w:rsid w:val="006F0E22"/>
    <w:rsid w:val="006F53E5"/>
    <w:rsid w:val="00710394"/>
    <w:rsid w:val="00711798"/>
    <w:rsid w:val="007213D6"/>
    <w:rsid w:val="007236AE"/>
    <w:rsid w:val="00724D33"/>
    <w:rsid w:val="007601C0"/>
    <w:rsid w:val="00761F64"/>
    <w:rsid w:val="007646FA"/>
    <w:rsid w:val="007757BD"/>
    <w:rsid w:val="00783B64"/>
    <w:rsid w:val="007B0CDD"/>
    <w:rsid w:val="007B53ED"/>
    <w:rsid w:val="007C17E0"/>
    <w:rsid w:val="007D52AF"/>
    <w:rsid w:val="007D7067"/>
    <w:rsid w:val="008002EE"/>
    <w:rsid w:val="00811488"/>
    <w:rsid w:val="008120E2"/>
    <w:rsid w:val="00827240"/>
    <w:rsid w:val="00851D72"/>
    <w:rsid w:val="00854CBA"/>
    <w:rsid w:val="0085784D"/>
    <w:rsid w:val="00862B6C"/>
    <w:rsid w:val="008724F7"/>
    <w:rsid w:val="00876A3D"/>
    <w:rsid w:val="008947BC"/>
    <w:rsid w:val="008B4843"/>
    <w:rsid w:val="008C5045"/>
    <w:rsid w:val="008D59F4"/>
    <w:rsid w:val="008F50BB"/>
    <w:rsid w:val="00900C40"/>
    <w:rsid w:val="00900CCB"/>
    <w:rsid w:val="009110C3"/>
    <w:rsid w:val="009270D1"/>
    <w:rsid w:val="009315DC"/>
    <w:rsid w:val="00967B1D"/>
    <w:rsid w:val="00975CE9"/>
    <w:rsid w:val="0099399B"/>
    <w:rsid w:val="009A1290"/>
    <w:rsid w:val="009A399B"/>
    <w:rsid w:val="009C4E21"/>
    <w:rsid w:val="009D3A57"/>
    <w:rsid w:val="009E2968"/>
    <w:rsid w:val="00A15C93"/>
    <w:rsid w:val="00A52A54"/>
    <w:rsid w:val="00A70DFB"/>
    <w:rsid w:val="00A85F62"/>
    <w:rsid w:val="00AA57B2"/>
    <w:rsid w:val="00AB78A1"/>
    <w:rsid w:val="00AC37B1"/>
    <w:rsid w:val="00AC535B"/>
    <w:rsid w:val="00AD6000"/>
    <w:rsid w:val="00AE2314"/>
    <w:rsid w:val="00AF258E"/>
    <w:rsid w:val="00AF31DE"/>
    <w:rsid w:val="00AF3D6E"/>
    <w:rsid w:val="00B4197B"/>
    <w:rsid w:val="00B43107"/>
    <w:rsid w:val="00B53D64"/>
    <w:rsid w:val="00B57843"/>
    <w:rsid w:val="00BA24D1"/>
    <w:rsid w:val="00BA31D1"/>
    <w:rsid w:val="00BF041D"/>
    <w:rsid w:val="00C26489"/>
    <w:rsid w:val="00C31AD8"/>
    <w:rsid w:val="00C479FC"/>
    <w:rsid w:val="00C47AA0"/>
    <w:rsid w:val="00C5421D"/>
    <w:rsid w:val="00C55E36"/>
    <w:rsid w:val="00C737F8"/>
    <w:rsid w:val="00C76DEC"/>
    <w:rsid w:val="00C803E1"/>
    <w:rsid w:val="00C81AC3"/>
    <w:rsid w:val="00C85AF2"/>
    <w:rsid w:val="00C9029B"/>
    <w:rsid w:val="00CA2ACC"/>
    <w:rsid w:val="00CB122A"/>
    <w:rsid w:val="00CB635B"/>
    <w:rsid w:val="00CC5488"/>
    <w:rsid w:val="00CC6D96"/>
    <w:rsid w:val="00CD77DB"/>
    <w:rsid w:val="00CF603B"/>
    <w:rsid w:val="00D0151F"/>
    <w:rsid w:val="00D224CC"/>
    <w:rsid w:val="00D3037C"/>
    <w:rsid w:val="00D4383B"/>
    <w:rsid w:val="00D5340B"/>
    <w:rsid w:val="00D642E6"/>
    <w:rsid w:val="00D65C52"/>
    <w:rsid w:val="00D9554C"/>
    <w:rsid w:val="00DB5D80"/>
    <w:rsid w:val="00DD5699"/>
    <w:rsid w:val="00E141D2"/>
    <w:rsid w:val="00E21E16"/>
    <w:rsid w:val="00E23E9E"/>
    <w:rsid w:val="00E25153"/>
    <w:rsid w:val="00E31D84"/>
    <w:rsid w:val="00E37EF7"/>
    <w:rsid w:val="00E40D2F"/>
    <w:rsid w:val="00E65012"/>
    <w:rsid w:val="00E6528F"/>
    <w:rsid w:val="00EB20A2"/>
    <w:rsid w:val="00EC55C1"/>
    <w:rsid w:val="00EF7B76"/>
    <w:rsid w:val="00F0670C"/>
    <w:rsid w:val="00F2213D"/>
    <w:rsid w:val="00F25BEC"/>
    <w:rsid w:val="00F43050"/>
    <w:rsid w:val="00F436F1"/>
    <w:rsid w:val="00F4452D"/>
    <w:rsid w:val="00F57F5B"/>
    <w:rsid w:val="00F65720"/>
    <w:rsid w:val="00F71749"/>
    <w:rsid w:val="00F87A5B"/>
    <w:rsid w:val="00FB2025"/>
    <w:rsid w:val="00FB61EF"/>
    <w:rsid w:val="00FE1D60"/>
    <w:rsid w:val="00FF4C40"/>
    <w:rsid w:val="065A6D24"/>
    <w:rsid w:val="0CB4003A"/>
    <w:rsid w:val="1EEB2372"/>
    <w:rsid w:val="253A0140"/>
    <w:rsid w:val="255E6D90"/>
    <w:rsid w:val="2C753E05"/>
    <w:rsid w:val="31724251"/>
    <w:rsid w:val="3C895775"/>
    <w:rsid w:val="43782264"/>
    <w:rsid w:val="44A46222"/>
    <w:rsid w:val="467D18A1"/>
    <w:rsid w:val="4F220E21"/>
    <w:rsid w:val="512C719C"/>
    <w:rsid w:val="67085008"/>
    <w:rsid w:val="6BA8657E"/>
    <w:rsid w:val="6DCF74D9"/>
    <w:rsid w:val="7CDC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napToGrid w:val="0"/>
      <w:spacing w:after="240"/>
      <w:jc w:val="center"/>
      <w:outlineLvl w:val="0"/>
    </w:pPr>
    <w:rPr>
      <w:rFonts w:ascii="Calibri" w:hAnsi="Calibri" w:eastAsia="华文中宋" w:cs="宋体"/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6"/>
    <w:qFormat/>
    <w:uiPriority w:val="0"/>
    <w:pPr>
      <w:ind w:firstLine="555"/>
    </w:pPr>
    <w:rPr>
      <w:rFonts w:ascii="楷体_GB2312" w:hAnsi="Times New Roman" w:eastAsia="楷体_GB2312" w:cs="Times New Roman"/>
      <w:sz w:val="28"/>
    </w:rPr>
  </w:style>
  <w:style w:type="paragraph" w:styleId="5">
    <w:name w:val="Plain Text"/>
    <w:basedOn w:val="1"/>
    <w:link w:val="15"/>
    <w:qFormat/>
    <w:uiPriority w:val="0"/>
    <w:rPr>
      <w:rFonts w:ascii="宋体" w:hAnsi="Times New Roman" w:eastAsia="宋体" w:cs="Courier New"/>
      <w:szCs w:val="21"/>
    </w:rPr>
  </w:style>
  <w:style w:type="paragraph" w:styleId="6">
    <w:name w:val="Balloon Text"/>
    <w:basedOn w:val="1"/>
    <w:link w:val="19"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customStyle="1" w:styleId="13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纯文本 Char"/>
    <w:basedOn w:val="11"/>
    <w:link w:val="5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16">
    <w:name w:val="正文文本缩进 Char"/>
    <w:basedOn w:val="11"/>
    <w:link w:val="4"/>
    <w:qFormat/>
    <w:uiPriority w:val="0"/>
    <w:rPr>
      <w:rFonts w:ascii="楷体_GB2312" w:eastAsia="楷体_GB2312"/>
      <w:kern w:val="2"/>
      <w:sz w:val="28"/>
      <w:szCs w:val="24"/>
    </w:rPr>
  </w:style>
  <w:style w:type="character" w:customStyle="1" w:styleId="17">
    <w:name w:val="标题 1 Char"/>
    <w:basedOn w:val="11"/>
    <w:link w:val="2"/>
    <w:uiPriority w:val="0"/>
    <w:rPr>
      <w:rFonts w:ascii="Calibri" w:hAnsi="Calibri" w:eastAsia="华文中宋" w:cs="宋体"/>
      <w:b/>
      <w:bCs/>
      <w:kern w:val="44"/>
      <w:sz w:val="44"/>
      <w:szCs w:val="44"/>
    </w:rPr>
  </w:style>
  <w:style w:type="paragraph" w:styleId="18">
    <w:name w:val="List Paragraph"/>
    <w:basedOn w:val="1"/>
    <w:uiPriority w:val="99"/>
    <w:pPr>
      <w:ind w:firstLine="420" w:firstLineChars="200"/>
    </w:pPr>
  </w:style>
  <w:style w:type="character" w:customStyle="1" w:styleId="19">
    <w:name w:val="批注框文本 Char"/>
    <w:basedOn w:val="11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2B662-D616-4CCE-A3B7-97CE8BA46F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414</Words>
  <Characters>2363</Characters>
  <Lines>19</Lines>
  <Paragraphs>5</Paragraphs>
  <TotalTime>1512</TotalTime>
  <ScaleCrop>false</ScaleCrop>
  <LinksUpToDate>false</LinksUpToDate>
  <CharactersWithSpaces>2772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2022-06-13T12:10:00Z</dcterms:created>
  <dc:creator>Administrator</dc:creator>
  <cp:lastModifiedBy>admin</cp:lastModifiedBy>
  <cp:lastPrinted>2022-06-16T00:47:00Z</cp:lastPrinted>
  <dcterms:modified xsi:type="dcterms:W3CDTF">2024-04-17T13:26:28Z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9A040BD3963B4C7FAF5B68DD1758A30F</vt:lpwstr>
  </property>
</Properties>
</file>