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bookmarkStart w:id="0" w:name="_Hlk118378850"/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jc w:val="center"/>
        <w:rPr>
          <w:rFonts w:ascii="仿宋" w:hAnsi="仿宋" w:eastAsia="仿宋"/>
          <w:b/>
          <w:bCs/>
          <w:color w:val="auto"/>
          <w:sz w:val="84"/>
          <w:szCs w:val="8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84"/>
          <w:szCs w:val="84"/>
          <w:highlight w:val="none"/>
        </w:rPr>
        <w:t>招商文件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ind w:firstLine="643" w:firstLineChars="200"/>
        <w:outlineLvl w:val="0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项 目 名 称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公开</w:t>
      </w:r>
      <w:bookmarkStart w:id="1" w:name="_Hlk118382732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招募七组件瓶盖组装机非标设备供应商</w:t>
      </w:r>
      <w:bookmarkEnd w:id="1"/>
    </w:p>
    <w:p>
      <w:pPr>
        <w:ind w:firstLine="643" w:firstLineChars="200"/>
        <w:outlineLvl w:val="0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招   商  人：</w:t>
      </w:r>
      <w:bookmarkStart w:id="2" w:name="_Hlk118382693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珠海经济特区龙狮瓶盖有限公司</w:t>
      </w:r>
      <w:bookmarkEnd w:id="2"/>
    </w:p>
    <w:p>
      <w:pPr>
        <w:ind w:firstLine="643" w:firstLineChars="200"/>
        <w:outlineLvl w:val="0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日       期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二〇二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 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</w:p>
    <w:p>
      <w:pP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</w:p>
    <w:p>
      <w:pP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</w:p>
    <w:p>
      <w:pP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bookmarkStart w:id="11" w:name="_GoBack"/>
      <w:bookmarkEnd w:id="11"/>
    </w:p>
    <w:p>
      <w:pP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</w:p>
    <w:p>
      <w:pP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</w:p>
    <w:p>
      <w:pPr>
        <w:jc w:val="center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第一章  招商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须知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为营造稳定且竞争的供需合作关系，实现质量和效益双提升，珠海经济特区龙狮瓶盖有限公司拟采取公开招商方式招募</w:t>
      </w:r>
      <w:bookmarkStart w:id="3" w:name="_Hlk11838278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瓶盖组装机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非标设备供应商，补充公司非标设备供应商库，现就有关事项公告如下：</w:t>
      </w:r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一、项目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业务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概况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1.服务地点：广东省珠海市、贵州省仁怀市。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2.服务范围：七组件瓶盖组装机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非标设备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设计、生产及售后。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3.招募数量：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—5家。</w:t>
      </w:r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二、招商说明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1.供应商资格要求和特殊要求（符合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七组件瓶盖组装机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）详见本文件规定，诚邀符合条件的企业报名参加本次公开招商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，具有制造实力的非标设备制造公司都可投递资料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根据各公司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提交的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资料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进行综合评定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从报名参加的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选择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合实力强的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1-5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家非标设备制造公司进入公司非标设备供应商库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3.本次招商完成后，我司将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与库内各家非标设备供应商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包括新入库与原库内供应商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进行方案详谈，方案成熟后，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我司将面向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库内详谈方案的设备供应商进行采购七组件瓶盖组装机项目招标，性价比最高者中标。注：我司库内非标设备供应商不用重新报名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4.本次招商仅作为入围供应商资格性招商，招商人不承诺入库供应商后续业务量，也不确保入库供应商参与后续项目采购等工作。</w:t>
      </w:r>
    </w:p>
    <w:bookmarkEnd w:id="0"/>
    <w:p>
      <w:pPr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三、</w:t>
      </w:r>
      <w:bookmarkStart w:id="4" w:name="_Hlk11821213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合作业务技术要求</w:t>
      </w:r>
    </w:p>
    <w:bookmarkEnd w:id="4"/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.</w:t>
      </w:r>
      <w:bookmarkStart w:id="5" w:name="_Hlk11821002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七组件瓶盖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简介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drawing>
          <wp:inline distT="0" distB="0" distL="0" distR="0">
            <wp:extent cx="2903220" cy="26549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2892" cy="26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drawing>
          <wp:inline distT="0" distB="0" distL="0" distR="0">
            <wp:extent cx="2947035" cy="264731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9955" cy="268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drawing>
          <wp:inline distT="0" distB="0" distL="0" distR="0">
            <wp:extent cx="2889250" cy="2384425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722" cy="240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drawing>
          <wp:inline distT="0" distB="0" distL="0" distR="0">
            <wp:extent cx="2954020" cy="23882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953" cy="241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七组件瓶盖组装机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</w:t>
      </w:r>
      <w:bookmarkStart w:id="6" w:name="_Hlk118211657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要求</w:t>
      </w:r>
      <w:bookmarkEnd w:id="6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整条线设计全自动，单组件检测、组装、成品盖除尘、成品盖视觉全检、成品盖装箱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稳定生产速度：≥300只/分钟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为了保证组装机生产顺畅，保证组装好的盖子密封安全，要求组装前视觉针对</w:t>
      </w:r>
      <w:bookmarkStart w:id="7" w:name="_Hlk11838317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单个组件检测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：检测外盖完整和杂质、检测出酒嘴完整和杂质、检测铝圈圆形和杂质、检测内塞完整和杂质。</w:t>
      </w:r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资格条件及提交材料简述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必须具备独立法人资格，有独立承担民事责任的能力，具有有效的营业执照【扫描件加盖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.法定代表人身份证明书或法定代表人授权委托书，及法定代表人或其委托代理人身份证明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【扫描件加盖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具有履行合同所必需的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入库和专业技术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能力【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提供履行本项目能力的相关证明材料，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附承诺函，格式自拟，扫描件加盖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参加本次招商活动前三年内，在经营活动中无重大违法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犯罪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记录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及行贿行为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【自行承诺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格式自拟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.须具有良好的商业信誉和健全的财务会计制度【提供2021年度的财务审计报告复印件，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。新成立的企业可提供银行出具的资信证明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6.不存在重大征信问题【需提供招商公告发布后银行出具的入库企业征信报告】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7.纳税信用评级不得为C级或D级【2021年度纳税信用评级证明材料】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未被列入失信被执行人名单【提供在中国执行信息公开网查询结果截图，并加盖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未被列入严重违法失信企业名单（黑名单）【提供国家企业信用信息公示系统查询结果截图，并加盖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10.须具有依法缴纳税收和社会保障资金的良好记录。【提供2022年任意三个月的纳税证明和2022年任意三个月的社保缴纳证明】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单位负责人为同一人或存在控股、管理关系的不同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人不得同时参与本项目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招商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【附承诺函，格式自拟，扫描件加盖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本项目不接受联合体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，不允许转包、分包【附承诺函，格式自拟，扫描件加盖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13.具备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瓶盖类非标设备相关专利证书【扫描件加盖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4.竞聘人公司概况【主要介绍竞聘人经营规模、办公（厂房）面积、员工人数、注册资金、组织机构及职能、财务状况等，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格式自拟，扫描件加盖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本企业制造设备成功投产案例【附承诺函及资料、图片，格式自拟，扫描件加盖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服务方案【附说明函及资料、图片，格式自拟，扫描件加盖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17.竞聘评审标准中的其他相关证明材料【均需加盖竞聘人单位公章】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其他文件资料详见本文件第二章。</w:t>
      </w:r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报名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及文件递交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  <w:highlight w:val="none"/>
        </w:rPr>
        <w:t>1.报名时间为：202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日8:00至202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日24:00（以接收邮件和快递件的显示时间为准）。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.电子竞聘文件递交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竞聘文件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资料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按照本文件要求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编排打印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扫描制成压缩包文件，并以公司名称+设备招商报名格式命名（如：龙狮瓶盖公司设备招商报名）发送至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招商人指定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邮箱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指定接收邮箱：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instrText xml:space="preserve"> HYPERLINK "mailto:hr@zh-longshi.com" </w:instrTex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hr@zh-longshi.com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3.纸质竞聘文件递交：竞聘文件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资料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按照本文件第三章要求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编排打印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后应同步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邮寄（限顺丰）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至招商人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指定收件信息为：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广东省珠海市华威路323号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珠海经济特区龙狮瓶盖有限公司采供部（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李小姐 18385799405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在报名期间内同时收到初审电子版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eastAsia="zh-CN"/>
        </w:rPr>
        <w:t>资料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与纸质竞聘文件视为报名成功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有意参选的非标设备制造商，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充分预估文件邮寄时间，确保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于报名截止之日前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送达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逾期送达或未寄达指定递交地点的竞聘文件，招商人不予受理。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因设备供应商填报失误、图片资料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或字迹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不清晰、信息不一致或故意提交虚假信息造成的后果由设备供应商自行承担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递交竞聘文件视为许可我司对竞聘文件进行合理使用，竞聘文件不予以返还，我司将妥善保管、处理，并将评选招募名单在茅台集团官网、珠海经济特区龙狮瓶盖有限公司官网公示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六、公告地址：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茅台集团官网、珠海经济特区龙狮瓶盖有限公司官网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、珠海龙狮瓶盖微信公众号。</w:t>
      </w:r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七、联系方式：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13229770222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联系人：李小姐 18385799405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地址：广东省珠海市华威路323号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八、竞商保证金交纳：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本次招商竞聘人无需交纳竞商保证金。</w:t>
      </w:r>
    </w:p>
    <w:p>
      <w:pPr>
        <w:numPr>
          <w:ilvl w:val="-1"/>
          <w:numId w:val="0"/>
        </w:numPr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九、招商纪律：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报名者均视为已经充分阅读并清楚本文件内容和要求。在规定的时间内未对招商文件提出疑问、质疑或要求澄清的，将视其为无异议。对招商文件中描述有歧义或前后不一致的地方，招商人更正或作出最终解释并适用于每个竞聘人。获得本招商文件者，不得将招商文件用作本次申请以外的任何用途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2.在报名时间截止前，竞聘人允许以书面形式修改或撤回资格审查文件。在报名时间截止后，竞聘人不得补充、修改和更换资格审查文件。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设备供应商必须保证，招商人在中华人民共和国境内使用其参与本次招商的货物、资料、技术、服务或其任何一部分时，享有不受限制的无偿使用权，如有第三方向提出侵犯其专利权、商标权或其它知识产权的主张，该责任应由竞聘人承担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竞聘人保证申请及合作过程不违反法律法规规定。不得提交虚假资料，不得妨碍其他竞聘人的公平竞争，不得损害招商人或其他竞聘人的合法权益，竞聘人不得以向招商人行贿或者采取其他不正当手段谋取入选。否则一经发现，招商人有权禁止其参加后续采购项目，并要求其承担由此给本次招商造成的一切后果。</w:t>
      </w:r>
    </w:p>
    <w:p>
      <w:pPr>
        <w:spacing w:line="560" w:lineRule="exact"/>
        <w:ind w:firstLine="640" w:firstLineChars="200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5.招商人有权对本次入库供应商审核结果不作任何说明。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珠海经济特区龙狮瓶盖有限公司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>
      <w:pPr>
        <w:jc w:val="left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br w:type="page"/>
      </w:r>
    </w:p>
    <w:p>
      <w:pPr>
        <w:ind w:right="1120"/>
        <w:jc w:val="center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第二章  评审程序及标准</w:t>
      </w:r>
    </w:p>
    <w:p>
      <w:pPr>
        <w:spacing w:before="60" w:line="520" w:lineRule="exact"/>
        <w:ind w:right="1123" w:firstLine="640" w:firstLineChars="200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一、评审程序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1.评审小组首先对各竞聘单位进行资格审查，资格审查通过的进入资料评审。</w:t>
      </w:r>
    </w:p>
    <w:p>
      <w:pPr>
        <w:spacing w:before="60" w:line="520" w:lineRule="exact"/>
        <w:ind w:right="1123" w:firstLine="640" w:firstLineChars="200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2.评审方法采用综合评分法。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3.资料评审满分为100分，分数保留小数两位。评审得分相同的，按服务方案优劣顺序排列，服务方案得分依然相同的，按业绩优劣顺序排列。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4.评审结束后，评审小组根据评审结果，将被评审人得分由高至低排序。根据排名结果，按照招商需求数量确认入选名单。</w:t>
      </w:r>
    </w:p>
    <w:p>
      <w:pPr>
        <w:spacing w:before="60" w:line="520" w:lineRule="exact"/>
        <w:ind w:right="1123" w:firstLine="640" w:firstLineChars="200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5.评审标准及办法的最终解释权归于招商人。</w:t>
      </w:r>
    </w:p>
    <w:p>
      <w:pPr>
        <w:spacing w:before="60" w:line="520" w:lineRule="exact"/>
        <w:ind w:right="1123" w:firstLine="640" w:firstLineChars="200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二、评审标准</w:t>
      </w:r>
    </w:p>
    <w:p>
      <w:pPr>
        <w:spacing w:before="157" w:beforeLines="50"/>
        <w:ind w:right="1123" w:firstLine="640" w:firstLineChars="200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bookmarkStart w:id="8" w:name="_Hlk118709718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资格审查标准</w:t>
      </w:r>
      <w:bookmarkEnd w:id="8"/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必须具备独立法人资格，有独立承担民事责任的能力，具有有效的营业执照【扫描件加盖竞聘人单位公章】；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1.2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具有履行合同所必需的入库和专业技术能力【提供履行本项目能力的相关证明材料，附承诺函，格式自拟，扫描件加盖竞聘人单位公章】；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参加本次招商活动前三年内，在经营活动中无重大违法犯罪记录及行贿行为【自行承诺（格式自拟），扫描件加盖竞聘人单位公章】；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须具有良好的商业信誉和健全的财务会计制度【提供2021年度的财务审计报告复印件，扫描件加盖竞聘人单位公章。新成立的企业可提供银行出具的资信证明】；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不存在重大征信问题【需提供招商公告发布后银行出具的入库企业征信报告】；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纳税信用评级不得为C级或D级【2021年度纳税信用评级证明材料】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未被列入失信被执行人名单【提供在中国执行信息公开网查询结果截图，并加盖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人单位公章】；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未被列入严重违法失信企业名单（黑名单）【提供国家企业信用信息公示系统查询结果截图，并加盖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人单位公章】；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须具有依法缴纳税收和社会保障资金的良好记录。【提供2022年任意三个月的纳税证明和2022年任意三个月的社保缴纳证明。】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单位负责人为同一人或存在控股、管理关系的不同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人不得同时参与本项目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招商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【附承诺函，格式自拟，扫描件加盖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人单位公章】；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本项目不接受联合体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，不允许转包、分包【附承诺函，格式自拟，扫描件加盖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人单位公章】；</w:t>
      </w:r>
    </w:p>
    <w:p>
      <w:pPr>
        <w:spacing w:before="60" w:line="520" w:lineRule="exact"/>
        <w:ind w:right="1123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注：资格符合性审查，不满足任一资格评审标准即判定为不符合。</w:t>
      </w:r>
    </w:p>
    <w:p>
      <w:pPr>
        <w:spacing w:before="157" w:beforeLines="50"/>
        <w:ind w:right="1123" w:firstLine="640" w:firstLineChars="200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bookmarkStart w:id="9" w:name="_Hlk118709821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资料评审评分标准</w:t>
      </w:r>
      <w:bookmarkEnd w:id="9"/>
    </w:p>
    <w:tbl>
      <w:tblPr>
        <w:tblStyle w:val="7"/>
        <w:tblW w:w="46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08"/>
        <w:gridCol w:w="792"/>
        <w:gridCol w:w="4397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 w:val="24"/>
                <w:highlight w:val="none"/>
              </w:rPr>
              <w:t>审查内容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 w:val="24"/>
                <w:highlight w:val="none"/>
              </w:rPr>
              <w:t>评分标准</w:t>
            </w:r>
          </w:p>
        </w:tc>
        <w:tc>
          <w:tcPr>
            <w:tcW w:w="1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 w:val="24"/>
                <w:highlight w:val="non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专利证书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分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瓶盖类非标设备相关专利证书，每1个得5分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专利证书复印件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厂房面积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10分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自有厂房面积达到500平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方米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得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5分，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1000平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方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米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以上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得10分；</w:t>
            </w:r>
          </w:p>
          <w:p>
            <w:pPr>
              <w:numPr>
                <w:ilvl w:val="0"/>
                <w:numId w:val="1"/>
              </w:num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租赁厂房1000平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方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米得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2000平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方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米以上得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自有：提供购房合同或房产产权证；</w:t>
            </w:r>
          </w:p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租赁：提供租赁合同复印件（加盖公章）及租金付款凭证（如发票、银行回单等）。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4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人员配备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10分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1.员工人数达到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人得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分；</w:t>
            </w:r>
          </w:p>
        </w:tc>
        <w:tc>
          <w:tcPr>
            <w:tcW w:w="14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2022年社保缴纳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、设备相关的技术人员资格证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设备技术人员达到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5人得2分，达到10人得5分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-1"/>
                <w:numId w:val="0"/>
              </w:numPr>
              <w:overflowPunct w:val="0"/>
              <w:snapToGrid w:val="0"/>
              <w:spacing w:line="280" w:lineRule="exact"/>
              <w:ind w:firstLine="0" w:firstLineChars="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4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企业信誉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5分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提供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质量、环境二大管理体系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证书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，各得1分，共2分；</w:t>
            </w:r>
          </w:p>
          <w:p>
            <w:pPr>
              <w:overflowPunct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提供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高新技术企业认定的得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4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提供近三年内获得荣誉或认证在有效期内的证书复印件。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2.获得纳税等级评定为A级得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分，B级得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分，C级及以下不得分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4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业绩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20分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提供2017年以来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00万元以上的瓶盖类非标设备项目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业绩，每提供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val="en-US" w:eastAsia="zh-CN"/>
              </w:rPr>
              <w:t>1个得5分，满分20分。</w:t>
            </w:r>
          </w:p>
        </w:tc>
        <w:tc>
          <w:tcPr>
            <w:tcW w:w="1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中标公示截图、中标通知书证明或合同。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4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bookmarkStart w:id="10" w:name="_Hlk118387098"/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服务方案</w:t>
            </w:r>
            <w:bookmarkEnd w:id="10"/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25分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1.项目实施保障措施。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由评审小组讨论出级别，评审人员在该级别区间内自行打分。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优10-7分，良6-4分，中3-1分，差0分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4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竞聘人在竞聘文件中自行阐述。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2.质量保障能力。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由评审小组讨论出级别，评审人员在该级别区间内自行打分。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优15-11分，良10-6分，中5-1分，差0分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4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ind w:right="0"/>
        <w:jc w:val="left"/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</w:rPr>
        <w:br w:type="page"/>
      </w:r>
    </w:p>
    <w:p>
      <w:pPr>
        <w:ind w:right="1120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第三章  竞聘文件格式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竞聘文件分为资格审查文件与资料评审文件，需提供一份纸质装订版，具体格式如下：</w:t>
      </w:r>
    </w:p>
    <w:p>
      <w:pPr>
        <w:spacing w:before="60" w:line="520" w:lineRule="exact"/>
        <w:ind w:right="1123" w:firstLine="640" w:firstLineChars="200"/>
        <w:outlineLvl w:val="1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一、资格审查文件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（一）文件需按照《招商文件》第二章第二项第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1款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资格审查标准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所示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条款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要求的证明事项及证明材料，按规定的序号依次进行编排。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（二）文件须用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A4纸双面打印，并装订成册。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（三）文件封面须清楚标注：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1.参加报名的项目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资格审查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;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2.参加报名的公司全称及地址;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3.参与竞聘活动的联系人名称及联系电话。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（四）文件须有清晰的目录，并在每页右下角标注页码。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（五）该文件纸质装订版需加盖公章及骑缝章。</w:t>
      </w:r>
    </w:p>
    <w:p>
      <w:pPr>
        <w:spacing w:before="60" w:line="520" w:lineRule="exact"/>
        <w:ind w:right="1123" w:firstLine="640" w:firstLineChars="200"/>
        <w:outlineLvl w:val="1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二、资料评审文件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（一）文件需按照《招商文件》第二章第二项第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2款《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资料评审评分标准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》所示条款要求的证明事项及证明材料，按规定的序号依次进行编排。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（二）文件须用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A4纸双面打印，并装订成册。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（三）文件封面须清楚标注：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1.参加报名的项目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2.参加报名的公司全称及地址；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3.参与竞聘活动的联系人名称及联系电话。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（四）文件须有清晰的目录，并在每页右下角标注页码。</w:t>
      </w:r>
    </w:p>
    <w:p>
      <w:pPr>
        <w:spacing w:before="60" w:line="520" w:lineRule="exact"/>
        <w:ind w:right="1123"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（五）该文件纸质装订版需加盖公章及骑缝章。</w:t>
      </w:r>
    </w:p>
    <w:p>
      <w:pPr>
        <w:ind w:right="1120"/>
        <w:rPr>
          <w:rFonts w:ascii="仿宋" w:hAnsi="仿宋" w:eastAsia="仿宋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134" w:right="1134" w:bottom="567" w:left="1134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86ED9E"/>
    <w:multiLevelType w:val="singleLevel"/>
    <w:tmpl w:val="EB86ED9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A0CC05"/>
    <w:multiLevelType w:val="singleLevel"/>
    <w:tmpl w:val="2BA0CC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5NzgxMDA3ZTMyZGZhNTk3ZTMyOGIwNTZlNmVmZjUifQ=="/>
  </w:docVars>
  <w:rsids>
    <w:rsidRoot w:val="005B0596"/>
    <w:rsid w:val="00001D00"/>
    <w:rsid w:val="00006A49"/>
    <w:rsid w:val="00060298"/>
    <w:rsid w:val="000A5D40"/>
    <w:rsid w:val="000D0D47"/>
    <w:rsid w:val="00103397"/>
    <w:rsid w:val="00155F4D"/>
    <w:rsid w:val="0019391B"/>
    <w:rsid w:val="00206E54"/>
    <w:rsid w:val="00225883"/>
    <w:rsid w:val="00265538"/>
    <w:rsid w:val="002A555A"/>
    <w:rsid w:val="002D067A"/>
    <w:rsid w:val="003909AE"/>
    <w:rsid w:val="003922AC"/>
    <w:rsid w:val="003D6817"/>
    <w:rsid w:val="00494674"/>
    <w:rsid w:val="005025F7"/>
    <w:rsid w:val="00522D1E"/>
    <w:rsid w:val="0054754E"/>
    <w:rsid w:val="005A1552"/>
    <w:rsid w:val="005B0596"/>
    <w:rsid w:val="00667601"/>
    <w:rsid w:val="00696A57"/>
    <w:rsid w:val="006B12E2"/>
    <w:rsid w:val="00710403"/>
    <w:rsid w:val="00724A9A"/>
    <w:rsid w:val="008577D4"/>
    <w:rsid w:val="008B7988"/>
    <w:rsid w:val="008D536B"/>
    <w:rsid w:val="00906997"/>
    <w:rsid w:val="009A0FF5"/>
    <w:rsid w:val="009B70BF"/>
    <w:rsid w:val="009C3896"/>
    <w:rsid w:val="00A10FCC"/>
    <w:rsid w:val="00A15C33"/>
    <w:rsid w:val="00A40201"/>
    <w:rsid w:val="00A661BF"/>
    <w:rsid w:val="00A864A9"/>
    <w:rsid w:val="00AE38A5"/>
    <w:rsid w:val="00AE63F6"/>
    <w:rsid w:val="00B90751"/>
    <w:rsid w:val="00BD5C8B"/>
    <w:rsid w:val="00BE1567"/>
    <w:rsid w:val="00BE1AAF"/>
    <w:rsid w:val="00C00F63"/>
    <w:rsid w:val="00C23D00"/>
    <w:rsid w:val="00C2525B"/>
    <w:rsid w:val="00C264F7"/>
    <w:rsid w:val="00C526A6"/>
    <w:rsid w:val="00C758EE"/>
    <w:rsid w:val="00C92E3C"/>
    <w:rsid w:val="00CE1430"/>
    <w:rsid w:val="00D24317"/>
    <w:rsid w:val="00D25009"/>
    <w:rsid w:val="00D723A8"/>
    <w:rsid w:val="00E435D6"/>
    <w:rsid w:val="00E903C7"/>
    <w:rsid w:val="00E92CEB"/>
    <w:rsid w:val="00E947AC"/>
    <w:rsid w:val="00EC076E"/>
    <w:rsid w:val="00EE05F0"/>
    <w:rsid w:val="00F77E02"/>
    <w:rsid w:val="00FC1E6D"/>
    <w:rsid w:val="00FD4890"/>
    <w:rsid w:val="05916939"/>
    <w:rsid w:val="08366F9C"/>
    <w:rsid w:val="0C98699B"/>
    <w:rsid w:val="0E100F06"/>
    <w:rsid w:val="11FE5B45"/>
    <w:rsid w:val="16522970"/>
    <w:rsid w:val="1ADC0AEE"/>
    <w:rsid w:val="1DD10D41"/>
    <w:rsid w:val="1F045F69"/>
    <w:rsid w:val="207B01A9"/>
    <w:rsid w:val="242248BC"/>
    <w:rsid w:val="248829B3"/>
    <w:rsid w:val="25435BAF"/>
    <w:rsid w:val="278A5999"/>
    <w:rsid w:val="27912EE4"/>
    <w:rsid w:val="28CE7609"/>
    <w:rsid w:val="2AEC60AA"/>
    <w:rsid w:val="2E407B51"/>
    <w:rsid w:val="3039684A"/>
    <w:rsid w:val="341C1705"/>
    <w:rsid w:val="3AF743EB"/>
    <w:rsid w:val="445F605A"/>
    <w:rsid w:val="452733D0"/>
    <w:rsid w:val="488705F0"/>
    <w:rsid w:val="48B704C1"/>
    <w:rsid w:val="4CAF4727"/>
    <w:rsid w:val="4D8F3218"/>
    <w:rsid w:val="4F1F7290"/>
    <w:rsid w:val="4F242D2D"/>
    <w:rsid w:val="4F864A4B"/>
    <w:rsid w:val="4FF43B44"/>
    <w:rsid w:val="52E92957"/>
    <w:rsid w:val="53B275FC"/>
    <w:rsid w:val="56BE4A3B"/>
    <w:rsid w:val="5BF31218"/>
    <w:rsid w:val="5E1B3911"/>
    <w:rsid w:val="678D5E08"/>
    <w:rsid w:val="6A153CFE"/>
    <w:rsid w:val="6AD9648D"/>
    <w:rsid w:val="6D533BE1"/>
    <w:rsid w:val="70E97A11"/>
    <w:rsid w:val="71DC40A5"/>
    <w:rsid w:val="71FC4A46"/>
    <w:rsid w:val="751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unhideWhenUsed/>
    <w:qFormat/>
    <w:uiPriority w:val="99"/>
    <w:pPr>
      <w:snapToGrid w:val="0"/>
      <w:jc w:val="left"/>
    </w:pPr>
    <w:rPr>
      <w:rFonts w:ascii="宋体" w:hAnsi="宋体"/>
      <w:kern w:val="0"/>
      <w:sz w:val="2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4400</Words>
  <Characters>4639</Characters>
  <Lines>24</Lines>
  <Paragraphs>6</Paragraphs>
  <TotalTime>1</TotalTime>
  <ScaleCrop>false</ScaleCrop>
  <LinksUpToDate>false</LinksUpToDate>
  <CharactersWithSpaces>4713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2022-11-01T06:09:00Z</dcterms:created>
  <dc:creator>zhczp2012@163.com</dc:creator>
  <cp:lastModifiedBy>梁江华</cp:lastModifiedBy>
  <cp:lastPrinted>2022-12-07T09:25:00Z</cp:lastPrinted>
  <dcterms:modified xsi:type="dcterms:W3CDTF">2023-02-22T02:29:06Z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5AB87A2660204821B2A428800E307EBF</vt:lpwstr>
  </property>
</Properties>
</file>